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62C4" w14:textId="45989FC6" w:rsidR="00992D6E" w:rsidRPr="004165F4" w:rsidRDefault="00992D6E" w:rsidP="00992D6E">
      <w:pPr>
        <w:tabs>
          <w:tab w:val="right" w:pos="9072"/>
        </w:tabs>
        <w:spacing w:line="360" w:lineRule="auto"/>
        <w:ind w:right="-46"/>
        <w:jc w:val="both"/>
        <w:rPr>
          <w:b/>
          <w:sz w:val="20"/>
          <w:szCs w:val="20"/>
        </w:rPr>
      </w:pPr>
      <w:r w:rsidRPr="004165F4">
        <w:rPr>
          <w:b/>
          <w:sz w:val="20"/>
          <w:szCs w:val="20"/>
        </w:rPr>
        <w:t>IN THE HIGH COURT OF JUSTICE</w:t>
      </w:r>
      <w:r w:rsidRPr="004165F4">
        <w:rPr>
          <w:b/>
          <w:sz w:val="20"/>
          <w:szCs w:val="20"/>
        </w:rPr>
        <w:tab/>
      </w:r>
      <w:r w:rsidR="00351D54" w:rsidRPr="004165F4">
        <w:rPr>
          <w:b/>
          <w:sz w:val="20"/>
          <w:szCs w:val="20"/>
        </w:rPr>
        <w:t>CR-2022-000964</w:t>
      </w:r>
    </w:p>
    <w:p w14:paraId="3FE3DDC2" w14:textId="77777777" w:rsidR="00992D6E" w:rsidRPr="004165F4" w:rsidRDefault="00992D6E" w:rsidP="00992D6E">
      <w:pPr>
        <w:spacing w:line="360" w:lineRule="auto"/>
        <w:rPr>
          <w:b/>
          <w:sz w:val="20"/>
          <w:szCs w:val="20"/>
        </w:rPr>
      </w:pPr>
      <w:r w:rsidRPr="004165F4">
        <w:rPr>
          <w:b/>
          <w:sz w:val="20"/>
          <w:szCs w:val="20"/>
        </w:rPr>
        <w:t>BUSINESS AND PROPERTY COURTS OF ENGLAND AND WALES</w:t>
      </w:r>
    </w:p>
    <w:p w14:paraId="23BF2C2D" w14:textId="1ED97A7F" w:rsidR="00992D6E" w:rsidRPr="004165F4" w:rsidRDefault="00992D6E" w:rsidP="00992D6E">
      <w:pPr>
        <w:spacing w:line="360" w:lineRule="auto"/>
        <w:rPr>
          <w:b/>
          <w:sz w:val="20"/>
          <w:szCs w:val="20"/>
        </w:rPr>
      </w:pPr>
      <w:r w:rsidRPr="004165F4">
        <w:rPr>
          <w:b/>
          <w:sz w:val="20"/>
          <w:szCs w:val="20"/>
        </w:rPr>
        <w:t>COMPANIES COURT (</w:t>
      </w:r>
      <w:proofErr w:type="spellStart"/>
      <w:r w:rsidRPr="004165F4">
        <w:rPr>
          <w:b/>
          <w:sz w:val="20"/>
          <w:szCs w:val="20"/>
        </w:rPr>
        <w:t>ChD</w:t>
      </w:r>
      <w:proofErr w:type="spellEnd"/>
      <w:r w:rsidRPr="004165F4">
        <w:rPr>
          <w:b/>
          <w:sz w:val="20"/>
          <w:szCs w:val="20"/>
        </w:rPr>
        <w:t>)</w:t>
      </w:r>
    </w:p>
    <w:p w14:paraId="183D1AE1" w14:textId="77777777" w:rsidR="00351D54" w:rsidRPr="004165F4" w:rsidRDefault="00351D54" w:rsidP="00992D6E">
      <w:pPr>
        <w:spacing w:line="360" w:lineRule="auto"/>
        <w:rPr>
          <w:b/>
          <w:sz w:val="20"/>
          <w:szCs w:val="20"/>
        </w:rPr>
      </w:pPr>
    </w:p>
    <w:p w14:paraId="53D5600F" w14:textId="77777777" w:rsidR="00351D54" w:rsidRPr="004165F4" w:rsidRDefault="00351D54" w:rsidP="00351D54">
      <w:pPr>
        <w:pStyle w:val="CoverPartyNameLitigation"/>
        <w:spacing w:before="0" w:after="120"/>
        <w:rPr>
          <w:sz w:val="20"/>
          <w:szCs w:val="20"/>
        </w:rPr>
      </w:pPr>
      <w:bookmarkStart w:id="0" w:name="Title"/>
      <w:bookmarkEnd w:id="0"/>
      <w:r w:rsidRPr="004165F4">
        <w:rPr>
          <w:sz w:val="20"/>
          <w:szCs w:val="20"/>
        </w:rPr>
        <w:t>in the matter of</w:t>
      </w:r>
    </w:p>
    <w:p w14:paraId="3BD30713" w14:textId="77777777" w:rsidR="00351D54" w:rsidRPr="004165F4" w:rsidRDefault="00351D54" w:rsidP="00351D54">
      <w:pPr>
        <w:pStyle w:val="CoverPartyNameLitigation"/>
        <w:spacing w:before="0" w:after="240"/>
        <w:rPr>
          <w:sz w:val="20"/>
          <w:szCs w:val="20"/>
        </w:rPr>
      </w:pPr>
      <w:r w:rsidRPr="004165F4">
        <w:rPr>
          <w:sz w:val="20"/>
          <w:szCs w:val="20"/>
        </w:rPr>
        <w:t>QBE UK LIMITED</w:t>
      </w:r>
    </w:p>
    <w:p w14:paraId="29C345C3" w14:textId="77777777" w:rsidR="00351D54" w:rsidRPr="004165F4" w:rsidRDefault="00351D54" w:rsidP="00351D54">
      <w:pPr>
        <w:pStyle w:val="CoverPartyNameLitigation"/>
        <w:spacing w:before="0" w:after="240"/>
        <w:rPr>
          <w:sz w:val="20"/>
          <w:szCs w:val="20"/>
        </w:rPr>
      </w:pPr>
      <w:r w:rsidRPr="004165F4">
        <w:rPr>
          <w:caps w:val="0"/>
          <w:sz w:val="20"/>
          <w:szCs w:val="20"/>
        </w:rPr>
        <w:t>and</w:t>
      </w:r>
    </w:p>
    <w:p w14:paraId="435805DC" w14:textId="77777777" w:rsidR="00351D54" w:rsidRPr="004165F4" w:rsidRDefault="00351D54" w:rsidP="00351D54">
      <w:pPr>
        <w:pStyle w:val="CoverPartyNameLitigation"/>
        <w:spacing w:before="0" w:after="120"/>
        <w:rPr>
          <w:sz w:val="20"/>
          <w:szCs w:val="20"/>
        </w:rPr>
      </w:pPr>
      <w:r w:rsidRPr="004165F4">
        <w:rPr>
          <w:sz w:val="20"/>
          <w:szCs w:val="20"/>
        </w:rPr>
        <w:t>in the matter of</w:t>
      </w:r>
    </w:p>
    <w:p w14:paraId="22E58F5B" w14:textId="77777777" w:rsidR="00351D54" w:rsidRPr="004165F4" w:rsidRDefault="00351D54" w:rsidP="00351D54">
      <w:pPr>
        <w:pStyle w:val="CoverPartyNameLitigation"/>
        <w:spacing w:before="0" w:after="240"/>
        <w:rPr>
          <w:sz w:val="20"/>
          <w:szCs w:val="20"/>
        </w:rPr>
      </w:pPr>
      <w:r w:rsidRPr="004165F4">
        <w:rPr>
          <w:sz w:val="20"/>
          <w:szCs w:val="20"/>
        </w:rPr>
        <w:t>r&amp;q eta company LIMITED</w:t>
      </w:r>
    </w:p>
    <w:p w14:paraId="5BB96601" w14:textId="77777777" w:rsidR="00351D54" w:rsidRPr="004165F4" w:rsidRDefault="00351D54" w:rsidP="00351D54">
      <w:pPr>
        <w:pStyle w:val="CoverPartyNameLitigation"/>
        <w:spacing w:before="0" w:after="240"/>
        <w:rPr>
          <w:sz w:val="20"/>
          <w:szCs w:val="20"/>
        </w:rPr>
      </w:pPr>
      <w:r w:rsidRPr="004165F4">
        <w:rPr>
          <w:caps w:val="0"/>
          <w:sz w:val="20"/>
          <w:szCs w:val="20"/>
        </w:rPr>
        <w:t>and</w:t>
      </w:r>
    </w:p>
    <w:p w14:paraId="728B2D4B" w14:textId="77777777" w:rsidR="00351D54" w:rsidRPr="004165F4" w:rsidRDefault="00351D54" w:rsidP="00351D54">
      <w:pPr>
        <w:pStyle w:val="CoverPartyNameLitigation"/>
        <w:spacing w:before="0" w:after="120"/>
        <w:rPr>
          <w:sz w:val="20"/>
          <w:szCs w:val="20"/>
        </w:rPr>
      </w:pPr>
      <w:r w:rsidRPr="004165F4">
        <w:rPr>
          <w:sz w:val="20"/>
          <w:szCs w:val="20"/>
        </w:rPr>
        <w:t>in the matter of</w:t>
      </w:r>
    </w:p>
    <w:p w14:paraId="60559CE4" w14:textId="64395909" w:rsidR="00351D54" w:rsidRPr="004165F4" w:rsidRDefault="00351D54" w:rsidP="00351D54">
      <w:pPr>
        <w:pStyle w:val="CoverPartyNameLitigation"/>
        <w:spacing w:before="0" w:after="240"/>
        <w:rPr>
          <w:sz w:val="20"/>
          <w:szCs w:val="20"/>
        </w:rPr>
      </w:pPr>
      <w:r w:rsidRPr="004165F4">
        <w:rPr>
          <w:sz w:val="20"/>
          <w:szCs w:val="20"/>
        </w:rPr>
        <w:t>THE WORLD MARINE &amp; GENERAL INSURANCE PLC</w:t>
      </w:r>
    </w:p>
    <w:p w14:paraId="4F70C067" w14:textId="77777777" w:rsidR="00351D54" w:rsidRPr="004165F4" w:rsidRDefault="00351D54" w:rsidP="00351D54">
      <w:pPr>
        <w:pStyle w:val="CoverPartyNameLitigation"/>
        <w:spacing w:before="0" w:after="240"/>
        <w:rPr>
          <w:sz w:val="20"/>
          <w:szCs w:val="20"/>
        </w:rPr>
      </w:pPr>
      <w:r w:rsidRPr="004165F4">
        <w:rPr>
          <w:caps w:val="0"/>
          <w:sz w:val="20"/>
          <w:szCs w:val="20"/>
        </w:rPr>
        <w:t>and</w:t>
      </w:r>
    </w:p>
    <w:p w14:paraId="339206A3" w14:textId="77777777" w:rsidR="00351D54" w:rsidRPr="004165F4" w:rsidRDefault="00351D54" w:rsidP="00351D54">
      <w:pPr>
        <w:pStyle w:val="CoverPartyNameLitigation"/>
        <w:spacing w:before="0" w:after="120"/>
        <w:rPr>
          <w:sz w:val="20"/>
          <w:szCs w:val="20"/>
        </w:rPr>
      </w:pPr>
      <w:r w:rsidRPr="004165F4">
        <w:rPr>
          <w:sz w:val="20"/>
          <w:szCs w:val="20"/>
        </w:rPr>
        <w:t>in the matter of</w:t>
      </w:r>
    </w:p>
    <w:p w14:paraId="04155F2E" w14:textId="77777777" w:rsidR="00351D54" w:rsidRPr="004165F4" w:rsidRDefault="00351D54" w:rsidP="00351D54">
      <w:pPr>
        <w:pStyle w:val="BodyText"/>
        <w:jc w:val="center"/>
        <w:rPr>
          <w:b/>
          <w:sz w:val="20"/>
          <w:szCs w:val="20"/>
        </w:rPr>
      </w:pPr>
      <w:r w:rsidRPr="004165F4">
        <w:rPr>
          <w:b/>
          <w:sz w:val="20"/>
          <w:szCs w:val="20"/>
        </w:rPr>
        <w:t>INCEPTUM INSURANCE COMPANY LIMITED</w:t>
      </w:r>
    </w:p>
    <w:p w14:paraId="42F11185" w14:textId="77777777" w:rsidR="00351D54" w:rsidRPr="004165F4" w:rsidRDefault="00351D54" w:rsidP="00351D54">
      <w:pPr>
        <w:pStyle w:val="BodyText"/>
        <w:jc w:val="center"/>
        <w:rPr>
          <w:b/>
          <w:sz w:val="20"/>
          <w:szCs w:val="20"/>
        </w:rPr>
      </w:pPr>
      <w:r w:rsidRPr="004165F4">
        <w:rPr>
          <w:b/>
          <w:sz w:val="20"/>
          <w:szCs w:val="20"/>
        </w:rPr>
        <w:t>and</w:t>
      </w:r>
    </w:p>
    <w:p w14:paraId="353A02CB" w14:textId="77777777" w:rsidR="00351D54" w:rsidRPr="004165F4" w:rsidRDefault="00351D54" w:rsidP="00351D54">
      <w:pPr>
        <w:pStyle w:val="CoverPartyNameLitigation"/>
        <w:spacing w:before="0" w:after="240"/>
        <w:rPr>
          <w:sz w:val="20"/>
          <w:szCs w:val="20"/>
        </w:rPr>
      </w:pPr>
      <w:r w:rsidRPr="004165F4">
        <w:rPr>
          <w:sz w:val="20"/>
          <w:szCs w:val="20"/>
        </w:rPr>
        <w:t>IN THE MATTER OF</w:t>
      </w:r>
    </w:p>
    <w:p w14:paraId="30D7CDD4" w14:textId="0D89F9AB" w:rsidR="00992D6E" w:rsidRPr="004165F4" w:rsidRDefault="00351D54" w:rsidP="00351D54">
      <w:pPr>
        <w:pStyle w:val="CoverPartyNameLitigation"/>
        <w:spacing w:before="100" w:beforeAutospacing="1" w:line="360" w:lineRule="auto"/>
        <w:rPr>
          <w:sz w:val="20"/>
          <w:szCs w:val="20"/>
        </w:rPr>
      </w:pPr>
      <w:r w:rsidRPr="004165F4">
        <w:rPr>
          <w:sz w:val="20"/>
          <w:szCs w:val="20"/>
        </w:rPr>
        <w:t>PART VII OF THE FINANCIAL SERVICES AND MARKETS ACT 2000</w:t>
      </w:r>
    </w:p>
    <w:p w14:paraId="62001395" w14:textId="51DD62AD" w:rsidR="00992D6E" w:rsidRPr="004165F4" w:rsidRDefault="00992D6E" w:rsidP="00E2491E">
      <w:pPr>
        <w:pStyle w:val="BodyText"/>
        <w:spacing w:line="360" w:lineRule="auto"/>
        <w:rPr>
          <w:sz w:val="20"/>
          <w:szCs w:val="20"/>
        </w:rPr>
      </w:pPr>
      <w:r w:rsidRPr="004165F4">
        <w:rPr>
          <w:b/>
          <w:sz w:val="20"/>
          <w:szCs w:val="20"/>
        </w:rPr>
        <w:t xml:space="preserve">NOTICE IS HEREBY GIVEN </w:t>
      </w:r>
      <w:r w:rsidRPr="004165F4">
        <w:rPr>
          <w:sz w:val="20"/>
          <w:szCs w:val="20"/>
        </w:rPr>
        <w:t>that</w:t>
      </w:r>
      <w:r w:rsidR="004165F4" w:rsidRPr="004165F4">
        <w:rPr>
          <w:sz w:val="20"/>
          <w:szCs w:val="20"/>
        </w:rPr>
        <w:t>,</w:t>
      </w:r>
      <w:r w:rsidRPr="004165F4">
        <w:rPr>
          <w:sz w:val="20"/>
          <w:szCs w:val="20"/>
        </w:rPr>
        <w:t xml:space="preserve"> on </w:t>
      </w:r>
      <w:r w:rsidR="007D6BCC" w:rsidRPr="007D6BCC">
        <w:rPr>
          <w:rFonts w:cs="Arial"/>
          <w:sz w:val="20"/>
          <w:szCs w:val="20"/>
        </w:rPr>
        <w:t>27 July 2022</w:t>
      </w:r>
      <w:r w:rsidRPr="004165F4">
        <w:rPr>
          <w:sz w:val="20"/>
          <w:szCs w:val="20"/>
        </w:rPr>
        <w:t>,</w:t>
      </w:r>
      <w:r w:rsidR="005231B3">
        <w:rPr>
          <w:sz w:val="20"/>
          <w:szCs w:val="20"/>
        </w:rPr>
        <w:t xml:space="preserve"> </w:t>
      </w:r>
      <w:r w:rsidRPr="004165F4">
        <w:rPr>
          <w:sz w:val="20"/>
          <w:szCs w:val="20"/>
        </w:rPr>
        <w:t>QBE UK Limited</w:t>
      </w:r>
      <w:r w:rsidR="00851117" w:rsidRPr="004165F4">
        <w:rPr>
          <w:sz w:val="20"/>
          <w:szCs w:val="20"/>
        </w:rPr>
        <w:t xml:space="preserve"> (formerly </w:t>
      </w:r>
      <w:proofErr w:type="spellStart"/>
      <w:r w:rsidR="00851117" w:rsidRPr="004165F4">
        <w:rPr>
          <w:sz w:val="20"/>
          <w:szCs w:val="20"/>
        </w:rPr>
        <w:t>Legibus</w:t>
      </w:r>
      <w:proofErr w:type="spellEnd"/>
      <w:r w:rsidR="00851117" w:rsidRPr="004165F4">
        <w:rPr>
          <w:sz w:val="20"/>
          <w:szCs w:val="20"/>
        </w:rPr>
        <w:t xml:space="preserve"> 373 Limited from 1983 to 1984; Delta International Reinsurance Company Limited from 1984 to 1987; Imperial Chemicals Reinsurance Limited from 1987 to 1988; QBE Reinsurance (London) Limited from 1988 to 1992; QBE International </w:t>
      </w:r>
      <w:r w:rsidR="00851117" w:rsidRPr="001841F3">
        <w:rPr>
          <w:sz w:val="20"/>
          <w:szCs w:val="20"/>
        </w:rPr>
        <w:t>Insurance Limited from 1992 to 2005;</w:t>
      </w:r>
      <w:r w:rsidR="00612852" w:rsidRPr="001841F3">
        <w:rPr>
          <w:sz w:val="20"/>
          <w:szCs w:val="20"/>
        </w:rPr>
        <w:t xml:space="preserve"> and</w:t>
      </w:r>
      <w:r w:rsidR="00851117" w:rsidRPr="001841F3">
        <w:rPr>
          <w:sz w:val="20"/>
          <w:szCs w:val="20"/>
        </w:rPr>
        <w:t xml:space="preserve"> QBE Insurance (Europe) Limited from 2005 to 2018</w:t>
      </w:r>
      <w:r w:rsidR="00693C6A" w:rsidRPr="001841F3">
        <w:rPr>
          <w:sz w:val="20"/>
          <w:szCs w:val="20"/>
        </w:rPr>
        <w:t>)</w:t>
      </w:r>
      <w:r w:rsidR="00612852" w:rsidRPr="001841F3">
        <w:rPr>
          <w:sz w:val="20"/>
          <w:szCs w:val="20"/>
        </w:rPr>
        <w:t xml:space="preserve"> </w:t>
      </w:r>
      <w:r w:rsidRPr="001841F3">
        <w:rPr>
          <w:sz w:val="20"/>
          <w:szCs w:val="20"/>
        </w:rPr>
        <w:t>(</w:t>
      </w:r>
      <w:r w:rsidRPr="001841F3">
        <w:rPr>
          <w:b/>
          <w:sz w:val="20"/>
          <w:szCs w:val="20"/>
        </w:rPr>
        <w:t>QBEUK</w:t>
      </w:r>
      <w:r w:rsidRPr="001841F3">
        <w:rPr>
          <w:sz w:val="20"/>
          <w:szCs w:val="20"/>
        </w:rPr>
        <w:t>)</w:t>
      </w:r>
      <w:r w:rsidR="00351D54" w:rsidRPr="001841F3">
        <w:rPr>
          <w:sz w:val="20"/>
          <w:szCs w:val="20"/>
        </w:rPr>
        <w:t>, R&amp;Q Eta Company Limited</w:t>
      </w:r>
      <w:r w:rsidR="00C15CA0" w:rsidRPr="001841F3">
        <w:rPr>
          <w:sz w:val="20"/>
          <w:szCs w:val="20"/>
        </w:rPr>
        <w:t xml:space="preserve"> </w:t>
      </w:r>
      <w:r w:rsidR="003F0A7C" w:rsidRPr="001841F3">
        <w:rPr>
          <w:sz w:val="20"/>
          <w:szCs w:val="20"/>
        </w:rPr>
        <w:t>(</w:t>
      </w:r>
      <w:r w:rsidR="00C15CA0" w:rsidRPr="001841F3">
        <w:rPr>
          <w:sz w:val="20"/>
          <w:szCs w:val="20"/>
        </w:rPr>
        <w:t>formerly MPS Risk Solutions Limited from 2004 t</w:t>
      </w:r>
      <w:r w:rsidR="00D3437B" w:rsidRPr="001841F3">
        <w:rPr>
          <w:sz w:val="20"/>
          <w:szCs w:val="20"/>
        </w:rPr>
        <w:t>o</w:t>
      </w:r>
      <w:r w:rsidR="00C15CA0" w:rsidRPr="001841F3">
        <w:rPr>
          <w:sz w:val="20"/>
          <w:szCs w:val="20"/>
        </w:rPr>
        <w:t xml:space="preserve"> 2019</w:t>
      </w:r>
      <w:r w:rsidR="003F0A7C" w:rsidRPr="001841F3">
        <w:rPr>
          <w:sz w:val="20"/>
          <w:szCs w:val="20"/>
        </w:rPr>
        <w:t>)</w:t>
      </w:r>
      <w:r w:rsidR="00351D54" w:rsidRPr="001841F3">
        <w:rPr>
          <w:sz w:val="20"/>
          <w:szCs w:val="20"/>
        </w:rPr>
        <w:t xml:space="preserve"> (</w:t>
      </w:r>
      <w:r w:rsidR="00351D54" w:rsidRPr="001841F3">
        <w:rPr>
          <w:b/>
          <w:bCs/>
          <w:sz w:val="20"/>
          <w:szCs w:val="20"/>
        </w:rPr>
        <w:t>Eta</w:t>
      </w:r>
      <w:r w:rsidR="00351D54" w:rsidRPr="001841F3">
        <w:rPr>
          <w:sz w:val="20"/>
          <w:szCs w:val="20"/>
        </w:rPr>
        <w:t xml:space="preserve">), The World Marine &amp; General Insurance PLC </w:t>
      </w:r>
      <w:r w:rsidR="003F0A7C" w:rsidRPr="001841F3">
        <w:rPr>
          <w:sz w:val="20"/>
          <w:szCs w:val="20"/>
        </w:rPr>
        <w:t xml:space="preserve">(formerly </w:t>
      </w:r>
      <w:r w:rsidR="001841F3" w:rsidRPr="001841F3">
        <w:rPr>
          <w:sz w:val="20"/>
          <w:szCs w:val="20"/>
        </w:rPr>
        <w:t>The World Marine Insurance Company Limited from 1894 to 1914; and The World Marine &amp; General Insurance Company Limited from 1914 to 1982</w:t>
      </w:r>
      <w:r w:rsidR="003F0A7C" w:rsidRPr="001841F3">
        <w:rPr>
          <w:sz w:val="20"/>
          <w:szCs w:val="20"/>
        </w:rPr>
        <w:t xml:space="preserve">) </w:t>
      </w:r>
      <w:r w:rsidR="00351D54" w:rsidRPr="001841F3">
        <w:rPr>
          <w:sz w:val="20"/>
          <w:szCs w:val="20"/>
        </w:rPr>
        <w:t>(</w:t>
      </w:r>
      <w:r w:rsidR="00351D54" w:rsidRPr="001841F3">
        <w:rPr>
          <w:b/>
          <w:bCs/>
          <w:sz w:val="20"/>
          <w:szCs w:val="20"/>
        </w:rPr>
        <w:t>WMG</w:t>
      </w:r>
      <w:r w:rsidR="00351D54" w:rsidRPr="001841F3">
        <w:rPr>
          <w:sz w:val="20"/>
          <w:szCs w:val="20"/>
        </w:rPr>
        <w:t>)</w:t>
      </w:r>
      <w:r w:rsidRPr="001841F3">
        <w:rPr>
          <w:sz w:val="20"/>
          <w:szCs w:val="20"/>
        </w:rPr>
        <w:t xml:space="preserve"> and </w:t>
      </w:r>
      <w:r w:rsidR="00351D54" w:rsidRPr="001841F3">
        <w:rPr>
          <w:sz w:val="20"/>
          <w:szCs w:val="20"/>
        </w:rPr>
        <w:t>Inceptum</w:t>
      </w:r>
      <w:r w:rsidRPr="001841F3">
        <w:rPr>
          <w:sz w:val="20"/>
          <w:szCs w:val="20"/>
        </w:rPr>
        <w:t xml:space="preserve"> Insurance Company Limited</w:t>
      </w:r>
      <w:r w:rsidR="0066220B" w:rsidRPr="001841F3">
        <w:rPr>
          <w:sz w:val="20"/>
          <w:szCs w:val="20"/>
        </w:rPr>
        <w:t xml:space="preserve"> </w:t>
      </w:r>
      <w:r w:rsidR="003F0A7C" w:rsidRPr="001841F3">
        <w:rPr>
          <w:sz w:val="20"/>
          <w:szCs w:val="20"/>
        </w:rPr>
        <w:t>(</w:t>
      </w:r>
      <w:r w:rsidR="0066220B" w:rsidRPr="001841F3">
        <w:rPr>
          <w:sz w:val="20"/>
          <w:szCs w:val="20"/>
        </w:rPr>
        <w:t xml:space="preserve">formerly </w:t>
      </w:r>
      <w:proofErr w:type="spellStart"/>
      <w:r w:rsidR="0066220B" w:rsidRPr="001841F3">
        <w:rPr>
          <w:sz w:val="20"/>
          <w:szCs w:val="20"/>
        </w:rPr>
        <w:t>Duntrade</w:t>
      </w:r>
      <w:proofErr w:type="spellEnd"/>
      <w:r w:rsidR="0066220B" w:rsidRPr="001841F3">
        <w:rPr>
          <w:sz w:val="20"/>
          <w:szCs w:val="20"/>
        </w:rPr>
        <w:t xml:space="preserve"> Limited from June 1998 to October 1998; Corinthian Insurance Company Limited from 1998 to 2005; and HSBC Insurance (UK) Limited from 2005 to 2011</w:t>
      </w:r>
      <w:r w:rsidR="004165F4" w:rsidRPr="004165F4">
        <w:rPr>
          <w:sz w:val="20"/>
          <w:szCs w:val="20"/>
        </w:rPr>
        <w:t>)</w:t>
      </w:r>
      <w:r w:rsidRPr="004165F4">
        <w:rPr>
          <w:sz w:val="20"/>
          <w:szCs w:val="20"/>
        </w:rPr>
        <w:t xml:space="preserve"> (</w:t>
      </w:r>
      <w:r w:rsidR="00351D54" w:rsidRPr="004165F4">
        <w:rPr>
          <w:b/>
          <w:sz w:val="20"/>
          <w:szCs w:val="20"/>
        </w:rPr>
        <w:t>Inceptum</w:t>
      </w:r>
      <w:r w:rsidR="004165F4" w:rsidRPr="004165F4">
        <w:rPr>
          <w:b/>
          <w:sz w:val="20"/>
          <w:szCs w:val="20"/>
        </w:rPr>
        <w:t xml:space="preserve"> </w:t>
      </w:r>
      <w:r w:rsidR="004165F4" w:rsidRPr="004165F4">
        <w:rPr>
          <w:bCs/>
          <w:sz w:val="20"/>
          <w:szCs w:val="20"/>
        </w:rPr>
        <w:t xml:space="preserve">and, together with </w:t>
      </w:r>
      <w:r w:rsidRPr="004165F4">
        <w:rPr>
          <w:sz w:val="20"/>
          <w:szCs w:val="20"/>
        </w:rPr>
        <w:t>QBEUK</w:t>
      </w:r>
      <w:r w:rsidR="00351D54" w:rsidRPr="004165F4">
        <w:rPr>
          <w:sz w:val="20"/>
          <w:szCs w:val="20"/>
        </w:rPr>
        <w:t>, Eta, WMG</w:t>
      </w:r>
      <w:r w:rsidR="004165F4" w:rsidRPr="004165F4">
        <w:rPr>
          <w:sz w:val="20"/>
          <w:szCs w:val="20"/>
        </w:rPr>
        <w:t xml:space="preserve">, </w:t>
      </w:r>
      <w:r w:rsidRPr="004165F4">
        <w:rPr>
          <w:sz w:val="20"/>
          <w:szCs w:val="20"/>
        </w:rPr>
        <w:t xml:space="preserve">the </w:t>
      </w:r>
      <w:r w:rsidRPr="004165F4">
        <w:rPr>
          <w:b/>
          <w:sz w:val="20"/>
          <w:szCs w:val="20"/>
        </w:rPr>
        <w:t>Applicants</w:t>
      </w:r>
      <w:r w:rsidRPr="004165F4">
        <w:rPr>
          <w:sz w:val="20"/>
          <w:szCs w:val="20"/>
        </w:rPr>
        <w:t xml:space="preserve">) made an application (the </w:t>
      </w:r>
      <w:r w:rsidRPr="004165F4">
        <w:rPr>
          <w:b/>
          <w:sz w:val="20"/>
          <w:szCs w:val="20"/>
        </w:rPr>
        <w:t>Application</w:t>
      </w:r>
      <w:r w:rsidRPr="004165F4">
        <w:rPr>
          <w:sz w:val="20"/>
          <w:szCs w:val="20"/>
        </w:rPr>
        <w:t xml:space="preserve">) to the High Court of Justice (the </w:t>
      </w:r>
      <w:r w:rsidRPr="004165F4">
        <w:rPr>
          <w:b/>
          <w:sz w:val="20"/>
          <w:szCs w:val="20"/>
        </w:rPr>
        <w:t>Court</w:t>
      </w:r>
      <w:r w:rsidRPr="004165F4">
        <w:rPr>
          <w:sz w:val="20"/>
          <w:szCs w:val="20"/>
        </w:rPr>
        <w:t>) pursuant to section 107(1) of the Financial Services and Markets Act 2000 (</w:t>
      </w:r>
      <w:r w:rsidRPr="004165F4">
        <w:rPr>
          <w:b/>
          <w:sz w:val="20"/>
          <w:szCs w:val="20"/>
        </w:rPr>
        <w:t>FSMA</w:t>
      </w:r>
      <w:r w:rsidRPr="004165F4">
        <w:rPr>
          <w:sz w:val="20"/>
          <w:szCs w:val="20"/>
        </w:rPr>
        <w:t>) for an order:</w:t>
      </w:r>
    </w:p>
    <w:p w14:paraId="37FC259A" w14:textId="1A378F2D" w:rsidR="00992D6E" w:rsidRPr="004165F4" w:rsidRDefault="00992D6E" w:rsidP="00992D6E">
      <w:pPr>
        <w:pStyle w:val="BodyText"/>
        <w:numPr>
          <w:ilvl w:val="0"/>
          <w:numId w:val="20"/>
        </w:numPr>
        <w:spacing w:line="360" w:lineRule="auto"/>
        <w:rPr>
          <w:sz w:val="20"/>
          <w:szCs w:val="20"/>
        </w:rPr>
      </w:pPr>
      <w:r w:rsidRPr="004165F4">
        <w:rPr>
          <w:sz w:val="20"/>
          <w:szCs w:val="20"/>
        </w:rPr>
        <w:t xml:space="preserve">under section 111 of FSMA sanctioning an insurance business transfer scheme for the transfer of </w:t>
      </w:r>
      <w:r w:rsidR="00F316D4" w:rsidRPr="004165F4">
        <w:rPr>
          <w:sz w:val="20"/>
          <w:szCs w:val="20"/>
        </w:rPr>
        <w:t>part of the general</w:t>
      </w:r>
      <w:r w:rsidRPr="004165F4">
        <w:rPr>
          <w:sz w:val="20"/>
          <w:szCs w:val="20"/>
        </w:rPr>
        <w:t xml:space="preserve"> insurance business of QBEUK</w:t>
      </w:r>
      <w:r w:rsidR="00F316D4" w:rsidRPr="004165F4">
        <w:rPr>
          <w:sz w:val="20"/>
          <w:szCs w:val="20"/>
        </w:rPr>
        <w:t xml:space="preserve"> and all of the general insurance</w:t>
      </w:r>
      <w:r w:rsidRPr="004165F4">
        <w:rPr>
          <w:sz w:val="20"/>
          <w:szCs w:val="20"/>
        </w:rPr>
        <w:t xml:space="preserve"> </w:t>
      </w:r>
      <w:r w:rsidR="00F316D4" w:rsidRPr="004165F4">
        <w:rPr>
          <w:sz w:val="20"/>
          <w:szCs w:val="20"/>
        </w:rPr>
        <w:t xml:space="preserve">business of </w:t>
      </w:r>
      <w:r w:rsidR="00A5395F">
        <w:rPr>
          <w:sz w:val="20"/>
          <w:szCs w:val="20"/>
        </w:rPr>
        <w:t xml:space="preserve">each of </w:t>
      </w:r>
      <w:r w:rsidR="00F316D4" w:rsidRPr="004165F4">
        <w:rPr>
          <w:sz w:val="20"/>
          <w:szCs w:val="20"/>
        </w:rPr>
        <w:t xml:space="preserve">Eta and WMG </w:t>
      </w:r>
      <w:r w:rsidRPr="004165F4">
        <w:rPr>
          <w:sz w:val="20"/>
          <w:szCs w:val="20"/>
        </w:rPr>
        <w:t xml:space="preserve">(the </w:t>
      </w:r>
      <w:r w:rsidRPr="004165F4">
        <w:rPr>
          <w:b/>
          <w:sz w:val="20"/>
          <w:szCs w:val="20"/>
        </w:rPr>
        <w:t>Scheme</w:t>
      </w:r>
      <w:r w:rsidRPr="004165F4">
        <w:rPr>
          <w:sz w:val="20"/>
          <w:szCs w:val="20"/>
        </w:rPr>
        <w:t xml:space="preserve">) to </w:t>
      </w:r>
      <w:r w:rsidR="00F316D4" w:rsidRPr="004165F4">
        <w:rPr>
          <w:sz w:val="20"/>
          <w:szCs w:val="20"/>
        </w:rPr>
        <w:t>Inceptum</w:t>
      </w:r>
      <w:r w:rsidRPr="004165F4">
        <w:rPr>
          <w:sz w:val="20"/>
          <w:szCs w:val="20"/>
        </w:rPr>
        <w:t xml:space="preserve">; and </w:t>
      </w:r>
    </w:p>
    <w:p w14:paraId="5F3B630E" w14:textId="77777777" w:rsidR="00992D6E" w:rsidRPr="004165F4" w:rsidRDefault="00992D6E" w:rsidP="00992D6E">
      <w:pPr>
        <w:pStyle w:val="BodyText"/>
        <w:numPr>
          <w:ilvl w:val="0"/>
          <w:numId w:val="20"/>
        </w:numPr>
        <w:spacing w:line="360" w:lineRule="auto"/>
        <w:rPr>
          <w:sz w:val="20"/>
          <w:szCs w:val="20"/>
        </w:rPr>
      </w:pPr>
      <w:r w:rsidRPr="004165F4">
        <w:rPr>
          <w:sz w:val="20"/>
          <w:szCs w:val="20"/>
        </w:rPr>
        <w:t>making ancillary provisions in connection with the Scheme pursuant to section 112 of FSMA.</w:t>
      </w:r>
    </w:p>
    <w:p w14:paraId="0453EF53" w14:textId="0A244258" w:rsidR="00992D6E" w:rsidRPr="004165F4" w:rsidRDefault="00A70B77" w:rsidP="00992D6E">
      <w:pPr>
        <w:pStyle w:val="BodyText"/>
        <w:rPr>
          <w:sz w:val="20"/>
          <w:szCs w:val="20"/>
        </w:rPr>
      </w:pPr>
      <w:r w:rsidRPr="004165F4">
        <w:rPr>
          <w:sz w:val="20"/>
          <w:szCs w:val="20"/>
        </w:rPr>
        <w:lastRenderedPageBreak/>
        <w:t xml:space="preserve">The </w:t>
      </w:r>
      <w:r w:rsidR="00F441E2">
        <w:rPr>
          <w:sz w:val="20"/>
          <w:szCs w:val="20"/>
        </w:rPr>
        <w:t>Scheme provides for the transfer</w:t>
      </w:r>
      <w:r w:rsidR="00FF5F39">
        <w:rPr>
          <w:sz w:val="20"/>
          <w:szCs w:val="20"/>
        </w:rPr>
        <w:t xml:space="preserve"> to Inceptum of the following general insurance business:</w:t>
      </w:r>
    </w:p>
    <w:p w14:paraId="2310F176" w14:textId="4A1B20EA" w:rsidR="00992D6E" w:rsidRPr="004165F4" w:rsidRDefault="00CD4168" w:rsidP="00992D6E">
      <w:pPr>
        <w:pStyle w:val="Definition1"/>
        <w:spacing w:line="360" w:lineRule="auto"/>
        <w:rPr>
          <w:sz w:val="20"/>
          <w:szCs w:val="20"/>
        </w:rPr>
      </w:pPr>
      <w:r w:rsidRPr="004165F4">
        <w:rPr>
          <w:sz w:val="20"/>
          <w:szCs w:val="20"/>
        </w:rPr>
        <w:t xml:space="preserve">all </w:t>
      </w:r>
      <w:r w:rsidR="00CF4671" w:rsidRPr="004165F4">
        <w:rPr>
          <w:sz w:val="20"/>
          <w:szCs w:val="20"/>
        </w:rPr>
        <w:t xml:space="preserve">policies originally issued by QBEUK from the UK </w:t>
      </w:r>
      <w:r w:rsidR="00944007" w:rsidRPr="005231B3">
        <w:rPr>
          <w:sz w:val="20"/>
          <w:szCs w:val="20"/>
        </w:rPr>
        <w:t>(or issued by other insurers and subsequently assumed by QBEUK)</w:t>
      </w:r>
      <w:r w:rsidR="00944007">
        <w:rPr>
          <w:sz w:val="20"/>
          <w:szCs w:val="20"/>
        </w:rPr>
        <w:t xml:space="preserve"> </w:t>
      </w:r>
      <w:bookmarkStart w:id="1" w:name="_Hlk102581518"/>
      <w:r w:rsidR="00CF4671" w:rsidRPr="004165F4">
        <w:rPr>
          <w:sz w:val="20"/>
          <w:szCs w:val="20"/>
        </w:rPr>
        <w:t>which incepted on or prior to 31 December 2007</w:t>
      </w:r>
      <w:r w:rsidR="00FF5F39">
        <w:rPr>
          <w:sz w:val="20"/>
          <w:szCs w:val="20"/>
        </w:rPr>
        <w:t xml:space="preserve"> that have claims within certain QBEUK reserving classes detailed in the Scheme Document</w:t>
      </w:r>
      <w:r w:rsidR="007F524B">
        <w:rPr>
          <w:sz w:val="20"/>
          <w:szCs w:val="20"/>
        </w:rPr>
        <w:t xml:space="preserve"> and related assets and liabilities</w:t>
      </w:r>
      <w:bookmarkEnd w:id="1"/>
      <w:r w:rsidR="0085081E" w:rsidRPr="004165F4">
        <w:rPr>
          <w:sz w:val="20"/>
          <w:szCs w:val="20"/>
        </w:rPr>
        <w:t>; and</w:t>
      </w:r>
    </w:p>
    <w:p w14:paraId="5C0BF915" w14:textId="3541B779" w:rsidR="0085081E" w:rsidRPr="004165F4" w:rsidRDefault="00CD4168" w:rsidP="00CD4168">
      <w:pPr>
        <w:pStyle w:val="Definition1"/>
        <w:spacing w:line="360" w:lineRule="auto"/>
        <w:rPr>
          <w:sz w:val="20"/>
          <w:szCs w:val="20"/>
        </w:rPr>
      </w:pPr>
      <w:r w:rsidRPr="004165F4">
        <w:rPr>
          <w:sz w:val="20"/>
          <w:szCs w:val="20"/>
        </w:rPr>
        <w:t>the entire</w:t>
      </w:r>
      <w:r w:rsidR="008A5716" w:rsidRPr="004165F4">
        <w:rPr>
          <w:sz w:val="20"/>
          <w:szCs w:val="20"/>
        </w:rPr>
        <w:t xml:space="preserve"> general</w:t>
      </w:r>
      <w:r w:rsidRPr="004165F4">
        <w:rPr>
          <w:sz w:val="20"/>
          <w:szCs w:val="20"/>
        </w:rPr>
        <w:t xml:space="preserve"> insurance business of </w:t>
      </w:r>
      <w:r w:rsidR="007F524B">
        <w:rPr>
          <w:sz w:val="20"/>
          <w:szCs w:val="20"/>
        </w:rPr>
        <w:t xml:space="preserve">each of </w:t>
      </w:r>
      <w:r w:rsidRPr="004165F4">
        <w:rPr>
          <w:sz w:val="20"/>
          <w:szCs w:val="20"/>
        </w:rPr>
        <w:t>Eta and WMG.</w:t>
      </w:r>
    </w:p>
    <w:p w14:paraId="355136C1" w14:textId="3F108DBE" w:rsidR="00992D6E" w:rsidRPr="004165F4" w:rsidRDefault="00992D6E" w:rsidP="00992D6E">
      <w:pPr>
        <w:pStyle w:val="BodyText"/>
        <w:spacing w:line="360" w:lineRule="auto"/>
        <w:rPr>
          <w:sz w:val="20"/>
          <w:szCs w:val="20"/>
        </w:rPr>
      </w:pPr>
      <w:r w:rsidRPr="004165F4">
        <w:rPr>
          <w:sz w:val="20"/>
          <w:szCs w:val="20"/>
        </w:rPr>
        <w:t xml:space="preserve">Copies of a report on the terms of the Scheme prepared pursuant to section 109 of FSMA (the </w:t>
      </w:r>
      <w:r w:rsidRPr="004165F4">
        <w:rPr>
          <w:b/>
          <w:sz w:val="20"/>
          <w:szCs w:val="20"/>
        </w:rPr>
        <w:t>Independent Expert Report</w:t>
      </w:r>
      <w:r w:rsidRPr="004165F4">
        <w:rPr>
          <w:sz w:val="20"/>
          <w:szCs w:val="20"/>
        </w:rPr>
        <w:t xml:space="preserve">), a statement setting out the terms of the Scheme and a summary of the Independent Expert Report are available free of charge to download </w:t>
      </w:r>
      <w:r w:rsidR="007F524B">
        <w:rPr>
          <w:sz w:val="20"/>
          <w:szCs w:val="20"/>
        </w:rPr>
        <w:t>on</w:t>
      </w:r>
      <w:r w:rsidRPr="004165F4">
        <w:rPr>
          <w:sz w:val="20"/>
          <w:szCs w:val="20"/>
        </w:rPr>
        <w:t xml:space="preserve"> the </w:t>
      </w:r>
      <w:r w:rsidR="00F54758" w:rsidRPr="004165F4">
        <w:rPr>
          <w:sz w:val="20"/>
          <w:szCs w:val="20"/>
        </w:rPr>
        <w:t>QBE website (</w:t>
      </w:r>
      <w:r w:rsidR="004B7DA0" w:rsidRPr="004B7DA0">
        <w:rPr>
          <w:sz w:val="20"/>
          <w:szCs w:val="20"/>
        </w:rPr>
        <w:t>https://qbeeurope.com/quk-inceptum-part-vii-information/</w:t>
      </w:r>
      <w:r w:rsidR="00B44FCA" w:rsidRPr="004165F4">
        <w:rPr>
          <w:sz w:val="20"/>
          <w:szCs w:val="20"/>
        </w:rPr>
        <w:t>)</w:t>
      </w:r>
      <w:r w:rsidR="00F54758" w:rsidRPr="004165F4">
        <w:rPr>
          <w:sz w:val="20"/>
          <w:szCs w:val="20"/>
        </w:rPr>
        <w:t xml:space="preserve"> and the R&amp;Q website (</w:t>
      </w:r>
      <w:r w:rsidR="00D17761" w:rsidRPr="00D17761">
        <w:rPr>
          <w:sz w:val="20"/>
          <w:szCs w:val="20"/>
        </w:rPr>
        <w:t>https://www.rqih.com/news/the-world-marine-general-rq-eta-and-qbe-uk-part-vii-transfer</w:t>
      </w:r>
      <w:r w:rsidR="00F54758" w:rsidRPr="004165F4">
        <w:rPr>
          <w:sz w:val="20"/>
          <w:szCs w:val="20"/>
        </w:rPr>
        <w:t>)</w:t>
      </w:r>
      <w:r w:rsidR="001520A3" w:rsidRPr="004165F4">
        <w:rPr>
          <w:sz w:val="20"/>
          <w:szCs w:val="20"/>
        </w:rPr>
        <w:t>.</w:t>
      </w:r>
      <w:r w:rsidRPr="004165F4">
        <w:rPr>
          <w:sz w:val="20"/>
          <w:szCs w:val="20"/>
        </w:rPr>
        <w:t xml:space="preserve"> Supporting documents and any further news about the Scheme will be posted on the webpage</w:t>
      </w:r>
      <w:r w:rsidR="00F54758" w:rsidRPr="004165F4">
        <w:rPr>
          <w:sz w:val="20"/>
          <w:szCs w:val="20"/>
        </w:rPr>
        <w:t>s</w:t>
      </w:r>
      <w:r w:rsidRPr="004165F4">
        <w:rPr>
          <w:sz w:val="20"/>
          <w:szCs w:val="20"/>
        </w:rPr>
        <w:t xml:space="preserve"> so you may wish to check for updates. You can also request free copies of any of these documents by writing to </w:t>
      </w:r>
      <w:r w:rsidR="0097511F">
        <w:rPr>
          <w:sz w:val="20"/>
          <w:szCs w:val="20"/>
        </w:rPr>
        <w:t xml:space="preserve">R&amp;Q Insurance </w:t>
      </w:r>
      <w:r w:rsidR="00B94C68" w:rsidRPr="00B94C68">
        <w:rPr>
          <w:sz w:val="20"/>
          <w:szCs w:val="20"/>
        </w:rPr>
        <w:t>Holdings Ltd., 71 Fenchurch Street, London EC3M 4BS (Ref: Jacqui Rayner)</w:t>
      </w:r>
      <w:r w:rsidR="00B94C68">
        <w:rPr>
          <w:sz w:val="20"/>
          <w:szCs w:val="20"/>
        </w:rPr>
        <w:t>;</w:t>
      </w:r>
      <w:r w:rsidRPr="004165F4">
        <w:rPr>
          <w:sz w:val="20"/>
          <w:szCs w:val="20"/>
        </w:rPr>
        <w:t xml:space="preserve"> </w:t>
      </w:r>
      <w:r w:rsidR="00B94C68" w:rsidRPr="00B94C68">
        <w:rPr>
          <w:sz w:val="20"/>
          <w:szCs w:val="20"/>
        </w:rPr>
        <w:t>telephoning +</w:t>
      </w:r>
      <w:r w:rsidR="00AE3C8F" w:rsidRPr="00AE3C8F">
        <w:rPr>
          <w:sz w:val="20"/>
          <w:szCs w:val="20"/>
        </w:rPr>
        <w:t xml:space="preserve">44 (0)20 7977 0892 </w:t>
      </w:r>
      <w:r w:rsidR="00B94C68" w:rsidRPr="00B94C68">
        <w:rPr>
          <w:sz w:val="20"/>
          <w:szCs w:val="20"/>
        </w:rPr>
        <w:t>from Monday to Friday during usual business hours (09.00 to 17.00);</w:t>
      </w:r>
      <w:r w:rsidRPr="004165F4">
        <w:rPr>
          <w:sz w:val="20"/>
          <w:szCs w:val="20"/>
        </w:rPr>
        <w:t xml:space="preserve"> or emailing</w:t>
      </w:r>
      <w:r w:rsidR="00B94C68" w:rsidRPr="00B94C68">
        <w:rPr>
          <w:sz w:val="20"/>
          <w:szCs w:val="20"/>
        </w:rPr>
        <w:t xml:space="preserve"> businesstransfers@rqih.com (Ref: Fusion Part VII)</w:t>
      </w:r>
      <w:r w:rsidR="00B94C68">
        <w:rPr>
          <w:sz w:val="20"/>
          <w:szCs w:val="20"/>
        </w:rPr>
        <w:t>.</w:t>
      </w:r>
    </w:p>
    <w:p w14:paraId="07AE62AF" w14:textId="5F4FBC09" w:rsidR="00992D6E" w:rsidRPr="004165F4" w:rsidRDefault="00992D6E" w:rsidP="00992D6E">
      <w:pPr>
        <w:pStyle w:val="BodyText"/>
        <w:spacing w:line="360" w:lineRule="auto"/>
        <w:rPr>
          <w:sz w:val="20"/>
          <w:szCs w:val="20"/>
        </w:rPr>
      </w:pPr>
      <w:r w:rsidRPr="004165F4">
        <w:rPr>
          <w:sz w:val="20"/>
          <w:szCs w:val="20"/>
        </w:rPr>
        <w:t xml:space="preserve">The Application is directed to be heard before a judge on </w:t>
      </w:r>
      <w:r w:rsidR="00395A67">
        <w:rPr>
          <w:rFonts w:cs="Arial"/>
          <w:sz w:val="20"/>
          <w:szCs w:val="20"/>
        </w:rPr>
        <w:t>25 November 2022</w:t>
      </w:r>
      <w:r w:rsidRPr="004165F4">
        <w:rPr>
          <w:sz w:val="20"/>
          <w:szCs w:val="20"/>
        </w:rPr>
        <w:t xml:space="preserve"> at The Rolls Building, Fetter Lane, London, EC4A 1NL, United Kingdom. If approved by the Court, it is proposed that the transfer will take effect at 00:01 (GMT) </w:t>
      </w:r>
      <w:r w:rsidR="00A5033A" w:rsidRPr="004165F4">
        <w:rPr>
          <w:sz w:val="20"/>
          <w:szCs w:val="20"/>
        </w:rPr>
        <w:t xml:space="preserve">on </w:t>
      </w:r>
      <w:r w:rsidR="00395A67">
        <w:rPr>
          <w:rFonts w:cs="Arial"/>
          <w:sz w:val="20"/>
          <w:szCs w:val="20"/>
        </w:rPr>
        <w:t>2 December 2022</w:t>
      </w:r>
      <w:r w:rsidRPr="004165F4">
        <w:rPr>
          <w:sz w:val="20"/>
          <w:szCs w:val="20"/>
        </w:rPr>
        <w:t>.</w:t>
      </w:r>
    </w:p>
    <w:p w14:paraId="480C7B83" w14:textId="03011D89" w:rsidR="00992D6E" w:rsidRPr="004165F4" w:rsidRDefault="00992D6E" w:rsidP="00992D6E">
      <w:pPr>
        <w:pStyle w:val="BodyText"/>
        <w:spacing w:line="360" w:lineRule="auto"/>
        <w:rPr>
          <w:sz w:val="20"/>
          <w:szCs w:val="20"/>
        </w:rPr>
      </w:pPr>
      <w:r w:rsidRPr="004165F4">
        <w:rPr>
          <w:sz w:val="20"/>
          <w:szCs w:val="20"/>
        </w:rPr>
        <w:t xml:space="preserve">Any person who believes that he or she would be adversely affected by the carrying out of the Scheme is entitled to make written representations to the Court and/ or have their concerns heard in person (or by a legal representative) at the hearing of the Application on </w:t>
      </w:r>
      <w:r w:rsidR="00395A67">
        <w:rPr>
          <w:rFonts w:cs="Arial"/>
          <w:sz w:val="20"/>
          <w:szCs w:val="20"/>
        </w:rPr>
        <w:t>25 November 2022</w:t>
      </w:r>
      <w:r w:rsidRPr="004165F4">
        <w:rPr>
          <w:sz w:val="20"/>
          <w:szCs w:val="20"/>
        </w:rPr>
        <w:t xml:space="preserve">. Any such person may also raise their concerns </w:t>
      </w:r>
      <w:r w:rsidR="00616F17" w:rsidRPr="004165F4">
        <w:rPr>
          <w:sz w:val="20"/>
          <w:szCs w:val="20"/>
        </w:rPr>
        <w:t xml:space="preserve">in writing or over the telephone </w:t>
      </w:r>
      <w:r w:rsidRPr="004165F4">
        <w:rPr>
          <w:sz w:val="20"/>
          <w:szCs w:val="20"/>
        </w:rPr>
        <w:t xml:space="preserve">with </w:t>
      </w:r>
      <w:r w:rsidR="00616F17">
        <w:rPr>
          <w:sz w:val="20"/>
          <w:szCs w:val="20"/>
        </w:rPr>
        <w:t>the Applicants, who</w:t>
      </w:r>
      <w:r w:rsidRPr="004165F4">
        <w:rPr>
          <w:sz w:val="20"/>
          <w:szCs w:val="20"/>
        </w:rPr>
        <w:t xml:space="preserve"> will make a record of these concerns and communicate them to the Prudential Regulation Authority, the Financial Conduct Authority, the Independent Expert and the Court. </w:t>
      </w:r>
    </w:p>
    <w:p w14:paraId="21EB2350" w14:textId="37A925C0" w:rsidR="00992D6E" w:rsidRPr="004165F4" w:rsidRDefault="00992D6E" w:rsidP="00992D6E">
      <w:pPr>
        <w:pStyle w:val="BodyText"/>
        <w:spacing w:line="360" w:lineRule="auto"/>
        <w:rPr>
          <w:sz w:val="20"/>
          <w:szCs w:val="20"/>
        </w:rPr>
      </w:pPr>
      <w:r w:rsidRPr="004165F4">
        <w:rPr>
          <w:sz w:val="20"/>
          <w:szCs w:val="20"/>
        </w:rPr>
        <w:t>Any person who intends to make representations (whether by telephone or in writing) or to appear at Court is requested (but not obliged) to provide details of their representations or notice of their intention to appear at Court and details of their concerns as soon as possible and ideally at least 15 days before the</w:t>
      </w:r>
      <w:r w:rsidR="001A2882" w:rsidRPr="004165F4">
        <w:rPr>
          <w:sz w:val="20"/>
          <w:szCs w:val="20"/>
        </w:rPr>
        <w:t xml:space="preserve"> hearing of the Application on </w:t>
      </w:r>
      <w:r w:rsidR="00395A67">
        <w:rPr>
          <w:rFonts w:cs="Arial"/>
          <w:sz w:val="20"/>
          <w:szCs w:val="20"/>
        </w:rPr>
        <w:t>25 November 2022</w:t>
      </w:r>
      <w:r w:rsidRPr="004165F4">
        <w:rPr>
          <w:sz w:val="20"/>
          <w:szCs w:val="20"/>
        </w:rPr>
        <w:t xml:space="preserve"> using the contact details set out above.</w:t>
      </w:r>
    </w:p>
    <w:p w14:paraId="54B67BEB" w14:textId="3231C49B" w:rsidR="00133628" w:rsidRPr="004165F4" w:rsidRDefault="00992D6E" w:rsidP="00992D6E">
      <w:pPr>
        <w:tabs>
          <w:tab w:val="right" w:pos="9072"/>
        </w:tabs>
        <w:spacing w:line="360" w:lineRule="auto"/>
        <w:ind w:right="-46"/>
        <w:rPr>
          <w:b/>
          <w:sz w:val="20"/>
          <w:szCs w:val="20"/>
        </w:rPr>
      </w:pPr>
      <w:r w:rsidRPr="004165F4">
        <w:rPr>
          <w:sz w:val="20"/>
          <w:szCs w:val="20"/>
        </w:rPr>
        <w:t>Reynolds Porter Chamberlain LLP</w:t>
      </w:r>
      <w:r w:rsidRPr="004165F4">
        <w:rPr>
          <w:sz w:val="20"/>
          <w:szCs w:val="20"/>
        </w:rPr>
        <w:br/>
        <w:t>Tower Bridge House, St Katharine's Way, London E1W 1AA, United Kingdom</w:t>
      </w:r>
      <w:r w:rsidRPr="004165F4">
        <w:rPr>
          <w:sz w:val="20"/>
          <w:szCs w:val="20"/>
        </w:rPr>
        <w:br/>
        <w:t xml:space="preserve">Ref: </w:t>
      </w:r>
      <w:r w:rsidR="00395A67">
        <w:rPr>
          <w:sz w:val="20"/>
          <w:szCs w:val="20"/>
        </w:rPr>
        <w:t>INC30.1</w:t>
      </w:r>
      <w:r w:rsidRPr="004165F4">
        <w:rPr>
          <w:sz w:val="20"/>
          <w:szCs w:val="20"/>
        </w:rPr>
        <w:br/>
        <w:t>Solicitors for the Applicants</w:t>
      </w:r>
    </w:p>
    <w:sectPr w:rsidR="00133628" w:rsidRPr="004165F4" w:rsidSect="007D3346">
      <w:headerReference w:type="even" r:id="rId7"/>
      <w:headerReference w:type="default" r:id="rId8"/>
      <w:footerReference w:type="even" r:id="rId9"/>
      <w:footerReference w:type="default" r:id="rId10"/>
      <w:headerReference w:type="first" r:id="rId11"/>
      <w:footerReference w:type="first" r:id="rId12"/>
      <w:pgSz w:w="11907" w:h="16840" w:code="9"/>
      <w:pgMar w:top="1417" w:right="1134" w:bottom="1417" w:left="1134" w:header="709" w:footer="709" w:gutter="0"/>
      <w:paperSrc w:first="11" w:other="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561B" w14:textId="77777777" w:rsidR="0058654D" w:rsidRDefault="0058654D">
      <w:r>
        <w:separator/>
      </w:r>
    </w:p>
  </w:endnote>
  <w:endnote w:type="continuationSeparator" w:id="0">
    <w:p w14:paraId="43776D0F" w14:textId="77777777" w:rsidR="0058654D" w:rsidRDefault="0058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AF78" w14:textId="77777777" w:rsidR="00693C6A" w:rsidRDefault="00693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B373" w14:textId="77777777" w:rsidR="00693C6A" w:rsidRDefault="00693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6BAE" w14:textId="77777777" w:rsidR="00693C6A" w:rsidRDefault="00693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D521" w14:textId="77777777" w:rsidR="0058654D" w:rsidRDefault="0058654D">
      <w:r>
        <w:separator/>
      </w:r>
    </w:p>
  </w:footnote>
  <w:footnote w:type="continuationSeparator" w:id="0">
    <w:p w14:paraId="0FBAFB9E" w14:textId="77777777" w:rsidR="0058654D" w:rsidRDefault="0058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F521" w14:textId="77777777" w:rsidR="00693C6A" w:rsidRDefault="00693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BE13" w14:textId="77777777" w:rsidR="0058654D" w:rsidRDefault="00586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185A" w14:textId="77777777" w:rsidR="0058654D" w:rsidRDefault="00586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80E5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00066"/>
    <w:multiLevelType w:val="multilevel"/>
    <w:tmpl w:val="C90454FA"/>
    <w:lvl w:ilvl="0">
      <w:start w:val="1"/>
      <w:numFmt w:val="none"/>
      <w:suff w:val="nothing"/>
      <w:lvlText w:val=""/>
      <w:lvlJc w:val="left"/>
      <w:pPr>
        <w:ind w:left="0" w:firstLine="0"/>
      </w:pPr>
      <w:rPr>
        <w:rFonts w:hint="default"/>
        <w:b w:val="0"/>
        <w:i w:val="0"/>
      </w:rPr>
    </w:lvl>
    <w:lvl w:ilvl="1">
      <w:start w:val="1"/>
      <w:numFmt w:val="decimal"/>
      <w:lvlText w:val="%1%2."/>
      <w:lvlJc w:val="left"/>
      <w:pPr>
        <w:tabs>
          <w:tab w:val="num" w:pos="706"/>
        </w:tabs>
        <w:ind w:left="709" w:hanging="709"/>
      </w:pPr>
      <w:rPr>
        <w:rFonts w:hint="default"/>
        <w:b w:val="0"/>
        <w:i w:val="0"/>
      </w:rPr>
    </w:lvl>
    <w:lvl w:ilvl="2">
      <w:start w:val="1"/>
      <w:numFmt w:val="decimal"/>
      <w:lvlText w:val="%1%2.%3"/>
      <w:lvlJc w:val="left"/>
      <w:pPr>
        <w:tabs>
          <w:tab w:val="num" w:pos="709"/>
        </w:tabs>
        <w:ind w:left="709" w:hanging="709"/>
      </w:pPr>
      <w:rPr>
        <w:rFonts w:hint="default"/>
        <w:b w:val="0"/>
        <w:i w:val="0"/>
      </w:rPr>
    </w:lvl>
    <w:lvl w:ilvl="3">
      <w:start w:val="1"/>
      <w:numFmt w:val="decimal"/>
      <w:lvlText w:val="%2.%3.%4"/>
      <w:lvlJc w:val="left"/>
      <w:pPr>
        <w:tabs>
          <w:tab w:val="num" w:pos="1419"/>
        </w:tabs>
        <w:ind w:left="1419"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2835"/>
        </w:tabs>
        <w:ind w:left="2835" w:hanging="709"/>
      </w:pPr>
      <w:rPr>
        <w:rFonts w:hint="default"/>
      </w:rPr>
    </w:lvl>
    <w:lvl w:ilvl="6">
      <w:start w:val="1"/>
      <w:numFmt w:val="upperLetter"/>
      <w:lvlText w:val="(%7)"/>
      <w:lvlJc w:val="left"/>
      <w:pPr>
        <w:tabs>
          <w:tab w:val="num" w:pos="3544"/>
        </w:tabs>
        <w:ind w:left="3544" w:hanging="709"/>
      </w:pPr>
      <w:rPr>
        <w:rFonts w:hint="default"/>
      </w:rPr>
    </w:lvl>
    <w:lvl w:ilvl="7">
      <w:start w:val="1"/>
      <w:numFmt w:val="upperRoman"/>
      <w:lvlText w:val="%1(%8)"/>
      <w:lvlJc w:val="left"/>
      <w:pPr>
        <w:tabs>
          <w:tab w:val="num" w:pos="4253"/>
        </w:tabs>
        <w:ind w:left="4253"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6173FC"/>
    <w:multiLevelType w:val="hybridMultilevel"/>
    <w:tmpl w:val="58205C9A"/>
    <w:lvl w:ilvl="0" w:tplc="67B04E40">
      <w:start w:val="1"/>
      <w:numFmt w:val="bullet"/>
      <w:pStyle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343FF"/>
    <w:multiLevelType w:val="hybridMultilevel"/>
    <w:tmpl w:val="AF8069C4"/>
    <w:lvl w:ilvl="0" w:tplc="F7FAE508">
      <w:start w:val="1"/>
      <w:numFmt w:val="lowerLetter"/>
      <w:pStyle w:val="Definition1"/>
      <w:lvlText w:val="(%1)"/>
      <w:lvlJc w:val="left"/>
      <w:pPr>
        <w:tabs>
          <w:tab w:val="num" w:pos="1411"/>
        </w:tabs>
        <w:ind w:left="1411"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D5C11"/>
    <w:multiLevelType w:val="multilevel"/>
    <w:tmpl w:val="B5785A08"/>
    <w:lvl w:ilvl="0">
      <w:start w:val="1"/>
      <w:numFmt w:val="none"/>
      <w:pStyle w:val="RestartNumberingH1andLH1"/>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decimal"/>
      <w:lvlText w:val="%2.%3.%4"/>
      <w:lvlJc w:val="left"/>
      <w:pPr>
        <w:tabs>
          <w:tab w:val="num" w:pos="709"/>
        </w:tabs>
        <w:ind w:left="709" w:firstLine="0"/>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2835"/>
        </w:tabs>
        <w:ind w:left="2835" w:hanging="709"/>
      </w:pPr>
      <w:rPr>
        <w:rFonts w:hint="default"/>
      </w:rPr>
    </w:lvl>
    <w:lvl w:ilvl="6">
      <w:start w:val="1"/>
      <w:numFmt w:val="upperLetter"/>
      <w:lvlText w:val="(%7)"/>
      <w:lvlJc w:val="left"/>
      <w:pPr>
        <w:tabs>
          <w:tab w:val="num" w:pos="3544"/>
        </w:tabs>
        <w:ind w:left="3544" w:hanging="709"/>
      </w:pPr>
      <w:rPr>
        <w:rFonts w:hint="default"/>
      </w:rPr>
    </w:lvl>
    <w:lvl w:ilvl="7">
      <w:start w:val="1"/>
      <w:numFmt w:val="upperRoman"/>
      <w:lvlText w:val="(%8)"/>
      <w:lvlJc w:val="left"/>
      <w:pPr>
        <w:tabs>
          <w:tab w:val="num" w:pos="4253"/>
        </w:tabs>
        <w:ind w:left="4253" w:hanging="709"/>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AAB493E"/>
    <w:multiLevelType w:val="hybridMultilevel"/>
    <w:tmpl w:val="382080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35533CF"/>
    <w:multiLevelType w:val="hybridMultilevel"/>
    <w:tmpl w:val="9D4E2966"/>
    <w:lvl w:ilvl="0" w:tplc="BB2AA99C">
      <w:start w:val="1"/>
      <w:numFmt w:val="decimal"/>
      <w:pStyle w:val="Parties"/>
      <w:lvlText w:val="(%1)"/>
      <w:lvlJc w:val="left"/>
      <w:pPr>
        <w:tabs>
          <w:tab w:val="num" w:pos="706"/>
        </w:tabs>
        <w:ind w:left="706" w:hanging="70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D5545D"/>
    <w:multiLevelType w:val="multilevel"/>
    <w:tmpl w:val="2116BE76"/>
    <w:numStyleLink w:val="GTListNumber"/>
  </w:abstractNum>
  <w:abstractNum w:abstractNumId="8" w15:restartNumberingAfterBreak="0">
    <w:nsid w:val="38F36E94"/>
    <w:multiLevelType w:val="multilevel"/>
    <w:tmpl w:val="F712F830"/>
    <w:styleLink w:val="ListBullet0"/>
    <w:lvl w:ilvl="0">
      <w:start w:val="1"/>
      <w:numFmt w:val="bullet"/>
      <w:lvlText w:val=""/>
      <w:lvlJc w:val="left"/>
      <w:pPr>
        <w:tabs>
          <w:tab w:val="num" w:pos="454"/>
        </w:tabs>
        <w:ind w:left="454" w:hanging="454"/>
      </w:pPr>
      <w:rPr>
        <w:rFonts w:ascii="Symbol" w:hAnsi="Symbol" w:hint="default"/>
        <w:b w:val="0"/>
        <w:i w:val="0"/>
        <w:color w:val="auto"/>
        <w:position w:val="0"/>
        <w:sz w:val="18"/>
      </w:rPr>
    </w:lvl>
    <w:lvl w:ilvl="1">
      <w:start w:val="1"/>
      <w:numFmt w:val="bullet"/>
      <w:lvlText w:val=""/>
      <w:lvlJc w:val="left"/>
      <w:pPr>
        <w:tabs>
          <w:tab w:val="num" w:pos="737"/>
        </w:tabs>
        <w:ind w:left="1021" w:hanging="284"/>
      </w:pPr>
      <w:rPr>
        <w:rFonts w:ascii="Symbol" w:hAnsi="Symbol" w:hint="default"/>
        <w:b w:val="0"/>
        <w:i w:val="0"/>
        <w:color w:val="auto"/>
        <w:position w:val="0"/>
        <w:sz w:val="18"/>
      </w:rPr>
    </w:lvl>
    <w:lvl w:ilvl="2">
      <w:start w:val="1"/>
      <w:numFmt w:val="bullet"/>
      <w:lvlText w:val=""/>
      <w:lvlJc w:val="left"/>
      <w:pPr>
        <w:tabs>
          <w:tab w:val="num" w:pos="1021"/>
        </w:tabs>
        <w:ind w:left="1304" w:hanging="283"/>
      </w:pPr>
      <w:rPr>
        <w:rFonts w:ascii="Symbol" w:hAnsi="Symbol" w:hint="default"/>
        <w:b w:val="0"/>
        <w:i w:val="0"/>
        <w:color w:val="auto"/>
        <w:position w:val="0"/>
        <w:sz w:val="18"/>
      </w:rPr>
    </w:lvl>
    <w:lvl w:ilvl="3">
      <w:start w:val="1"/>
      <w:numFmt w:val="bullet"/>
      <w:lvlText w:val=""/>
      <w:lvlJc w:val="left"/>
      <w:pPr>
        <w:tabs>
          <w:tab w:val="num" w:pos="1304"/>
        </w:tabs>
        <w:ind w:left="1304" w:hanging="283"/>
      </w:pPr>
      <w:rPr>
        <w:rFonts w:ascii="Wingdings" w:hAnsi="Wingdings" w:hint="default"/>
        <w:b w:val="0"/>
        <w:i w:val="0"/>
        <w:color w:val="auto"/>
        <w:sz w:val="17"/>
      </w:rPr>
    </w:lvl>
    <w:lvl w:ilvl="4">
      <w:start w:val="1"/>
      <w:numFmt w:val="bullet"/>
      <w:lvlText w:val=""/>
      <w:lvlJc w:val="left"/>
      <w:pPr>
        <w:tabs>
          <w:tab w:val="num" w:pos="1134"/>
        </w:tabs>
        <w:ind w:left="1134" w:hanging="227"/>
      </w:pPr>
      <w:rPr>
        <w:rFonts w:ascii="Wingdings" w:hAnsi="Wingdings" w:hint="default"/>
        <w:b w:val="0"/>
        <w:i w:val="0"/>
        <w:color w:val="auto"/>
        <w:sz w:val="17"/>
      </w:rPr>
    </w:lvl>
    <w:lvl w:ilvl="5">
      <w:start w:val="1"/>
      <w:numFmt w:val="bullet"/>
      <w:lvlText w:val=""/>
      <w:lvlJc w:val="left"/>
      <w:pPr>
        <w:tabs>
          <w:tab w:val="num" w:pos="1361"/>
        </w:tabs>
        <w:ind w:left="1361" w:hanging="227"/>
      </w:pPr>
      <w:rPr>
        <w:rFonts w:ascii="Wingdings" w:hAnsi="Wingdings" w:hint="default"/>
        <w:color w:val="auto"/>
      </w:rPr>
    </w:lvl>
    <w:lvl w:ilvl="6">
      <w:start w:val="1"/>
      <w:numFmt w:val="bullet"/>
      <w:lvlText w:val=""/>
      <w:lvlJc w:val="left"/>
      <w:pPr>
        <w:tabs>
          <w:tab w:val="num" w:pos="1588"/>
        </w:tabs>
        <w:ind w:left="1588" w:hanging="227"/>
      </w:pPr>
      <w:rPr>
        <w:rFonts w:ascii="Wingdings" w:hAnsi="Wingdings" w:hint="default"/>
        <w:b w:val="0"/>
        <w:i w:val="0"/>
        <w:color w:val="auto"/>
        <w:sz w:val="17"/>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b w:val="0"/>
        <w:i w:val="0"/>
        <w:color w:val="auto"/>
        <w:sz w:val="17"/>
      </w:rPr>
    </w:lvl>
  </w:abstractNum>
  <w:abstractNum w:abstractNumId="9" w15:restartNumberingAfterBreak="0">
    <w:nsid w:val="3B8776B4"/>
    <w:multiLevelType w:val="multilevel"/>
    <w:tmpl w:val="9BB4AE9A"/>
    <w:styleLink w:val="Listnumbered"/>
    <w:lvl w:ilvl="0">
      <w:start w:val="1"/>
      <w:numFmt w:val="decimal"/>
      <w:pStyle w:val="Numberedheading1"/>
      <w:isLgl/>
      <w:lvlText w:val="%1."/>
      <w:lvlJc w:val="left"/>
      <w:pPr>
        <w:tabs>
          <w:tab w:val="num" w:pos="454"/>
        </w:tabs>
        <w:ind w:left="454" w:hanging="454"/>
      </w:pPr>
    </w:lvl>
    <w:lvl w:ilvl="1">
      <w:start w:val="1"/>
      <w:numFmt w:val="decimal"/>
      <w:pStyle w:val="NumberedBodytextindent1"/>
      <w:isLgl/>
      <w:lvlText w:val="%1.%2."/>
      <w:lvlJc w:val="left"/>
      <w:pPr>
        <w:tabs>
          <w:tab w:val="num" w:pos="454"/>
        </w:tabs>
        <w:ind w:left="454" w:hanging="454"/>
      </w:pPr>
    </w:lvl>
    <w:lvl w:ilvl="2">
      <w:start w:val="1"/>
      <w:numFmt w:val="decimal"/>
      <w:pStyle w:val="NumberedBodytextindent2"/>
      <w:isLgl/>
      <w:lvlText w:val="%1.%2.%3."/>
      <w:lvlJc w:val="left"/>
      <w:pPr>
        <w:tabs>
          <w:tab w:val="num" w:pos="737"/>
        </w:tabs>
        <w:ind w:left="737" w:hanging="737"/>
      </w:pPr>
    </w:lvl>
    <w:lvl w:ilvl="3">
      <w:start w:val="1"/>
      <w:numFmt w:val="decimal"/>
      <w:pStyle w:val="NumberedBodytextindent3"/>
      <w:isLgl/>
      <w:lvlText w:val="%1.%2.%3.%4."/>
      <w:lvlJc w:val="left"/>
      <w:pPr>
        <w:tabs>
          <w:tab w:val="num" w:pos="1021"/>
        </w:tabs>
        <w:ind w:left="1021" w:hanging="102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14541EF"/>
    <w:multiLevelType w:val="multilevel"/>
    <w:tmpl w:val="43DCD2B0"/>
    <w:lvl w:ilvl="0">
      <w:start w:val="1"/>
      <w:numFmt w:val="decimal"/>
      <w:pStyle w:val="NumHead"/>
      <w:lvlText w:val="%1"/>
      <w:lvlJc w:val="left"/>
      <w:pPr>
        <w:tabs>
          <w:tab w:val="num" w:pos="0"/>
        </w:tabs>
        <w:ind w:left="0" w:hanging="567"/>
      </w:pPr>
      <w:rPr>
        <w:rFonts w:hint="default"/>
      </w:rPr>
    </w:lvl>
    <w:lvl w:ilvl="1">
      <w:start w:val="1"/>
      <w:numFmt w:val="decimal"/>
      <w:pStyle w:val="NumText"/>
      <w:lvlText w:val="%1.%2."/>
      <w:lvlJc w:val="left"/>
      <w:pPr>
        <w:tabs>
          <w:tab w:val="num" w:pos="0"/>
        </w:tabs>
        <w:ind w:left="0" w:hanging="56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11" w15:restartNumberingAfterBreak="0">
    <w:nsid w:val="425912E6"/>
    <w:multiLevelType w:val="multilevel"/>
    <w:tmpl w:val="07F0D61E"/>
    <w:lvl w:ilvl="0">
      <w:start w:val="1"/>
      <w:numFmt w:val="none"/>
      <w:pStyle w:val="RestartNumberingS1SLH1"/>
      <w:suff w:val="nothing"/>
      <w:lvlText w:val="%1"/>
      <w:lvlJc w:val="left"/>
      <w:pPr>
        <w:ind w:left="0" w:firstLine="0"/>
      </w:pPr>
      <w:rPr>
        <w:rFonts w:hint="default"/>
        <w:b w:val="0"/>
        <w:i w:val="0"/>
      </w:rPr>
    </w:lvl>
    <w:lvl w:ilvl="1">
      <w:start w:val="1"/>
      <w:numFmt w:val="none"/>
      <w:lvlRestart w:val="0"/>
      <w:pStyle w:val="Scheduleheading"/>
      <w:suff w:val="nothing"/>
      <w:lvlText w:val="%1"/>
      <w:lvlJc w:val="center"/>
      <w:pPr>
        <w:ind w:left="0" w:firstLine="0"/>
      </w:pPr>
      <w:rPr>
        <w:rFonts w:hint="default"/>
        <w:b w:val="0"/>
        <w:i w:val="0"/>
      </w:rPr>
    </w:lvl>
    <w:lvl w:ilvl="2">
      <w:start w:val="1"/>
      <w:numFmt w:val="none"/>
      <w:lvlRestart w:val="0"/>
      <w:pStyle w:val="Schedulepart"/>
      <w:suff w:val="nothing"/>
      <w:lvlText w:val=""/>
      <w:lvlJc w:val="left"/>
      <w:pPr>
        <w:ind w:left="0" w:firstLine="0"/>
      </w:pPr>
      <w:rPr>
        <w:rFonts w:hint="default"/>
        <w:b w:val="0"/>
        <w:i w:val="0"/>
      </w:rPr>
    </w:lvl>
    <w:lvl w:ilvl="3">
      <w:start w:val="1"/>
      <w:numFmt w:val="decimal"/>
      <w:lvlRestart w:val="2"/>
      <w:pStyle w:val="Schedule1"/>
      <w:lvlText w:val="%4."/>
      <w:lvlJc w:val="left"/>
      <w:pPr>
        <w:tabs>
          <w:tab w:val="num" w:pos="709"/>
        </w:tabs>
        <w:ind w:left="709" w:hanging="709"/>
      </w:pPr>
      <w:rPr>
        <w:rFonts w:hint="default"/>
        <w:b w:val="0"/>
        <w:i w:val="0"/>
      </w:rPr>
    </w:lvl>
    <w:lvl w:ilvl="4">
      <w:start w:val="1"/>
      <w:numFmt w:val="decimal"/>
      <w:pStyle w:val="Schedule2"/>
      <w:lvlText w:val="%4.%5"/>
      <w:lvlJc w:val="left"/>
      <w:pPr>
        <w:tabs>
          <w:tab w:val="num" w:pos="709"/>
        </w:tabs>
        <w:ind w:left="709" w:hanging="709"/>
      </w:pPr>
      <w:rPr>
        <w:rFonts w:hint="default"/>
        <w:b w:val="0"/>
        <w:i w:val="0"/>
      </w:rPr>
    </w:lvl>
    <w:lvl w:ilvl="5">
      <w:start w:val="1"/>
      <w:numFmt w:val="decimal"/>
      <w:pStyle w:val="Schedule3"/>
      <w:lvlText w:val="%4.%5.%6"/>
      <w:lvlJc w:val="left"/>
      <w:pPr>
        <w:tabs>
          <w:tab w:val="num" w:pos="1418"/>
        </w:tabs>
        <w:ind w:left="1418" w:hanging="709"/>
      </w:pPr>
      <w:rPr>
        <w:rFonts w:hint="default"/>
      </w:rPr>
    </w:lvl>
    <w:lvl w:ilvl="6">
      <w:start w:val="1"/>
      <w:numFmt w:val="lowerLetter"/>
      <w:pStyle w:val="Schedule4"/>
      <w:lvlText w:val="(%7)"/>
      <w:lvlJc w:val="left"/>
      <w:pPr>
        <w:tabs>
          <w:tab w:val="num" w:pos="2126"/>
        </w:tabs>
        <w:ind w:left="2126" w:hanging="708"/>
      </w:pPr>
      <w:rPr>
        <w:rFonts w:hint="default"/>
      </w:rPr>
    </w:lvl>
    <w:lvl w:ilvl="7">
      <w:start w:val="1"/>
      <w:numFmt w:val="lowerRoman"/>
      <w:pStyle w:val="Schedule5"/>
      <w:lvlText w:val="(%8%1)"/>
      <w:lvlJc w:val="left"/>
      <w:pPr>
        <w:tabs>
          <w:tab w:val="num" w:pos="2835"/>
        </w:tabs>
        <w:ind w:left="2835" w:hanging="709"/>
      </w:pPr>
      <w:rPr>
        <w:rFonts w:hint="default"/>
      </w:rPr>
    </w:lvl>
    <w:lvl w:ilvl="8">
      <w:start w:val="1"/>
      <w:numFmt w:val="upperLetter"/>
      <w:pStyle w:val="Schedule6"/>
      <w:lvlText w:val="%1(%9)"/>
      <w:lvlJc w:val="left"/>
      <w:pPr>
        <w:tabs>
          <w:tab w:val="num" w:pos="3544"/>
        </w:tabs>
        <w:ind w:left="3544" w:hanging="709"/>
      </w:pPr>
      <w:rPr>
        <w:rFonts w:hint="default"/>
      </w:rPr>
    </w:lvl>
  </w:abstractNum>
  <w:abstractNum w:abstractNumId="12" w15:restartNumberingAfterBreak="0">
    <w:nsid w:val="43706AD3"/>
    <w:multiLevelType w:val="multilevel"/>
    <w:tmpl w:val="5028A0EA"/>
    <w:name w:val="zzmpFWA||FW Appendices|2|3|1|4|0|41||1|0|49||1|0|32||1|0|32||1|0|32||1|0|32||1|0|32||1|0|32||1|0|32||"/>
    <w:lvl w:ilvl="0">
      <w:start w:val="1"/>
      <w:numFmt w:val="upperLetter"/>
      <w:pStyle w:val="FWAL1"/>
      <w:suff w:val="nothing"/>
      <w:lvlText w:val="Appendix %1"/>
      <w:lvlJc w:val="left"/>
      <w:pPr>
        <w:tabs>
          <w:tab w:val="num" w:pos="0"/>
        </w:tabs>
        <w:ind w:left="0" w:firstLine="0"/>
      </w:pPr>
      <w:rPr>
        <w:rFonts w:ascii="Times New Roman" w:hAnsi="Times New Roman" w:cs="Times New Roman"/>
        <w:b/>
        <w:i w:val="0"/>
        <w:caps/>
        <w:smallCaps w:val="0"/>
        <w:color w:val="auto"/>
        <w:u w:val="none"/>
      </w:rPr>
    </w:lvl>
    <w:lvl w:ilvl="1">
      <w:start w:val="1"/>
      <w:numFmt w:val="decimal"/>
      <w:pStyle w:val="FWAL2"/>
      <w:lvlText w:val="%2."/>
      <w:lvlJc w:val="left"/>
      <w:pPr>
        <w:tabs>
          <w:tab w:val="num" w:pos="720"/>
        </w:tabs>
        <w:ind w:left="0" w:firstLine="0"/>
      </w:pPr>
      <w:rPr>
        <w:rFonts w:ascii="Times New Roman" w:hAnsi="Times New Roman" w:cs="Times New Roman"/>
        <w:b/>
        <w:i w:val="0"/>
        <w:caps w:val="0"/>
        <w:color w:val="auto"/>
        <w:u w:val="none"/>
      </w:rPr>
    </w:lvl>
    <w:lvl w:ilvl="2">
      <w:start w:val="1"/>
      <w:numFmt w:val="decimal"/>
      <w:pStyle w:val="FWAL3"/>
      <w:lvlText w:val="%3."/>
      <w:lvlJc w:val="left"/>
      <w:pPr>
        <w:tabs>
          <w:tab w:val="num" w:pos="720"/>
        </w:tabs>
        <w:ind w:left="0" w:firstLine="0"/>
      </w:pPr>
      <w:rPr>
        <w:rFonts w:ascii="Times New Roman" w:hAnsi="Times New Roman" w:cs="Times New Roman"/>
        <w:b w:val="0"/>
        <w:i w:val="0"/>
        <w:caps w:val="0"/>
        <w:color w:val="auto"/>
        <w:u w:val="none"/>
      </w:rPr>
    </w:lvl>
    <w:lvl w:ilvl="3">
      <w:start w:val="1"/>
      <w:numFmt w:val="decimal"/>
      <w:pStyle w:val="FWAL4"/>
      <w:lvlText w:val="%2.%4"/>
      <w:lvlJc w:val="left"/>
      <w:pPr>
        <w:tabs>
          <w:tab w:val="num" w:pos="720"/>
        </w:tabs>
        <w:ind w:left="0" w:firstLine="0"/>
      </w:pPr>
      <w:rPr>
        <w:rFonts w:ascii="Times New Roman" w:hAnsi="Times New Roman" w:cs="Times New Roman"/>
        <w:b w:val="0"/>
        <w:i w:val="0"/>
        <w:caps w:val="0"/>
        <w:color w:val="auto"/>
        <w:u w:val="none"/>
      </w:rPr>
    </w:lvl>
    <w:lvl w:ilvl="4">
      <w:start w:val="1"/>
      <w:numFmt w:val="lowerLetter"/>
      <w:pStyle w:val="FWAL5"/>
      <w:lvlText w:val="(%5)"/>
      <w:lvlJc w:val="left"/>
      <w:pPr>
        <w:tabs>
          <w:tab w:val="num" w:pos="720"/>
        </w:tabs>
        <w:ind w:left="720" w:hanging="720"/>
      </w:pPr>
      <w:rPr>
        <w:rFonts w:ascii="Times New Roman" w:hAnsi="Times New Roman" w:cs="Times New Roman"/>
        <w:b w:val="0"/>
        <w:i w:val="0"/>
        <w:caps w:val="0"/>
        <w:color w:val="auto"/>
        <w:u w:val="none"/>
      </w:rPr>
    </w:lvl>
    <w:lvl w:ilvl="5">
      <w:start w:val="1"/>
      <w:numFmt w:val="lowerRoman"/>
      <w:pStyle w:val="FWAL6"/>
      <w:lvlText w:val="(%6)"/>
      <w:lvlJc w:val="right"/>
      <w:pPr>
        <w:tabs>
          <w:tab w:val="num" w:pos="1440"/>
        </w:tabs>
        <w:ind w:left="1440" w:hanging="216"/>
      </w:pPr>
      <w:rPr>
        <w:rFonts w:ascii="Times New Roman" w:hAnsi="Times New Roman" w:cs="Times New Roman"/>
        <w:b w:val="0"/>
        <w:i w:val="0"/>
        <w:caps w:val="0"/>
        <w:color w:val="auto"/>
        <w:u w:val="none"/>
      </w:rPr>
    </w:lvl>
    <w:lvl w:ilvl="6">
      <w:start w:val="1"/>
      <w:numFmt w:val="upperLetter"/>
      <w:pStyle w:val="FWAL7"/>
      <w:lvlText w:val="(%7)"/>
      <w:lvlJc w:val="left"/>
      <w:pPr>
        <w:tabs>
          <w:tab w:val="num" w:pos="2160"/>
        </w:tabs>
        <w:ind w:left="2160" w:hanging="720"/>
      </w:pPr>
      <w:rPr>
        <w:rFonts w:ascii="Times New Roman" w:hAnsi="Times New Roman" w:cs="Times New Roman"/>
        <w:b w:val="0"/>
        <w:i w:val="0"/>
        <w:caps w:val="0"/>
        <w:color w:val="auto"/>
        <w:u w:val="none"/>
      </w:rPr>
    </w:lvl>
    <w:lvl w:ilvl="7">
      <w:start w:val="1"/>
      <w:numFmt w:val="upperRoman"/>
      <w:pStyle w:val="FWAL8"/>
      <w:lvlText w:val="(%8)"/>
      <w:lvlJc w:val="right"/>
      <w:pPr>
        <w:tabs>
          <w:tab w:val="num" w:pos="2880"/>
        </w:tabs>
        <w:ind w:left="2880" w:hanging="216"/>
      </w:pPr>
      <w:rPr>
        <w:rFonts w:ascii="Times New Roman" w:hAnsi="Times New Roman" w:cs="Times New Roman"/>
        <w:b w:val="0"/>
        <w:i w:val="0"/>
        <w:caps w:val="0"/>
        <w:color w:val="auto"/>
        <w:u w:val="none"/>
      </w:rPr>
    </w:lvl>
    <w:lvl w:ilvl="8">
      <w:start w:val="27"/>
      <w:numFmt w:val="lowerLetter"/>
      <w:pStyle w:val="FWAL9"/>
      <w:lvlText w:val="(%9)"/>
      <w:lvlJc w:val="left"/>
      <w:pPr>
        <w:tabs>
          <w:tab w:val="num" w:pos="3600"/>
        </w:tabs>
        <w:ind w:left="3600" w:hanging="720"/>
      </w:pPr>
      <w:rPr>
        <w:rFonts w:ascii="Times New Roman" w:hAnsi="Times New Roman" w:cs="Times New Roman"/>
        <w:b w:val="0"/>
        <w:i w:val="0"/>
        <w:caps w:val="0"/>
        <w:color w:val="auto"/>
        <w:u w:val="none"/>
      </w:rPr>
    </w:lvl>
  </w:abstractNum>
  <w:abstractNum w:abstractNumId="13" w15:restartNumberingAfterBreak="0">
    <w:nsid w:val="52BD6E2A"/>
    <w:multiLevelType w:val="multilevel"/>
    <w:tmpl w:val="2116BE76"/>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53BB6A38"/>
    <w:multiLevelType w:val="hybridMultilevel"/>
    <w:tmpl w:val="7A64DE84"/>
    <w:lvl w:ilvl="0" w:tplc="08090011">
      <w:start w:val="1"/>
      <w:numFmt w:val="decimal"/>
      <w:lvlText w:val="%1)"/>
      <w:lvlJc w:val="lef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15" w15:restartNumberingAfterBreak="0">
    <w:nsid w:val="5536497D"/>
    <w:multiLevelType w:val="hybridMultilevel"/>
    <w:tmpl w:val="1C94E1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A14DBF"/>
    <w:multiLevelType w:val="multilevel"/>
    <w:tmpl w:val="BAE2E53C"/>
    <w:lvl w:ilvl="0">
      <w:start w:val="1"/>
      <w:numFmt w:val="none"/>
      <w:pStyle w:val="RestartNumberingH1LH1"/>
      <w:suff w:val="nothing"/>
      <w:lvlText w:val=""/>
      <w:lvlJc w:val="left"/>
      <w:pPr>
        <w:ind w:left="0" w:firstLine="0"/>
      </w:pPr>
      <w:rPr>
        <w:rFonts w:hint="default"/>
        <w:b w:val="0"/>
        <w:i w:val="0"/>
      </w:rPr>
    </w:lvl>
    <w:lvl w:ilvl="1">
      <w:start w:val="1"/>
      <w:numFmt w:val="decimal"/>
      <w:pStyle w:val="Heading1"/>
      <w:lvlText w:val="%1%2."/>
      <w:lvlJc w:val="left"/>
      <w:pPr>
        <w:tabs>
          <w:tab w:val="num" w:pos="706"/>
        </w:tabs>
        <w:ind w:left="709" w:hanging="709"/>
      </w:pPr>
      <w:rPr>
        <w:rFonts w:hint="default"/>
        <w:b w:val="0"/>
        <w:i w:val="0"/>
      </w:rPr>
    </w:lvl>
    <w:lvl w:ilvl="2">
      <w:start w:val="1"/>
      <w:numFmt w:val="decimal"/>
      <w:pStyle w:val="Heading2"/>
      <w:lvlText w:val="%1%2.%3"/>
      <w:lvlJc w:val="left"/>
      <w:pPr>
        <w:tabs>
          <w:tab w:val="num" w:pos="709"/>
        </w:tabs>
        <w:ind w:left="709" w:hanging="709"/>
      </w:pPr>
      <w:rPr>
        <w:rFonts w:hint="default"/>
        <w:b w:val="0"/>
        <w:i w:val="0"/>
      </w:rPr>
    </w:lvl>
    <w:lvl w:ilvl="3">
      <w:start w:val="1"/>
      <w:numFmt w:val="decimal"/>
      <w:pStyle w:val="Heading3"/>
      <w:lvlText w:val="%2.%3.%4"/>
      <w:lvlJc w:val="left"/>
      <w:pPr>
        <w:tabs>
          <w:tab w:val="num" w:pos="1418"/>
        </w:tabs>
        <w:ind w:left="1418" w:hanging="709"/>
      </w:pPr>
      <w:rPr>
        <w:rFonts w:hint="default"/>
      </w:rPr>
    </w:lvl>
    <w:lvl w:ilvl="4">
      <w:start w:val="1"/>
      <w:numFmt w:val="lowerLetter"/>
      <w:pStyle w:val="Heading4"/>
      <w:lvlText w:val="(%5)"/>
      <w:lvlJc w:val="left"/>
      <w:pPr>
        <w:tabs>
          <w:tab w:val="num" w:pos="2126"/>
        </w:tabs>
        <w:ind w:left="2126" w:hanging="708"/>
      </w:pPr>
      <w:rPr>
        <w:rFonts w:hint="default"/>
      </w:rPr>
    </w:lvl>
    <w:lvl w:ilvl="5">
      <w:start w:val="1"/>
      <w:numFmt w:val="lowerRoman"/>
      <w:pStyle w:val="Heading5"/>
      <w:lvlText w:val="(%6)"/>
      <w:lvlJc w:val="left"/>
      <w:pPr>
        <w:tabs>
          <w:tab w:val="num" w:pos="2835"/>
        </w:tabs>
        <w:ind w:left="2835" w:hanging="709"/>
      </w:pPr>
      <w:rPr>
        <w:rFonts w:hint="default"/>
      </w:rPr>
    </w:lvl>
    <w:lvl w:ilvl="6">
      <w:start w:val="1"/>
      <w:numFmt w:val="upperLetter"/>
      <w:pStyle w:val="Heading6"/>
      <w:lvlText w:val="(%7)"/>
      <w:lvlJc w:val="left"/>
      <w:pPr>
        <w:tabs>
          <w:tab w:val="num" w:pos="3544"/>
        </w:tabs>
        <w:ind w:left="3544" w:hanging="709"/>
      </w:pPr>
      <w:rPr>
        <w:rFonts w:hint="default"/>
      </w:rPr>
    </w:lvl>
    <w:lvl w:ilvl="7">
      <w:start w:val="1"/>
      <w:numFmt w:val="upperRoman"/>
      <w:pStyle w:val="Heading7"/>
      <w:lvlText w:val="%1(%8)"/>
      <w:lvlJc w:val="left"/>
      <w:pPr>
        <w:tabs>
          <w:tab w:val="num" w:pos="4253"/>
        </w:tabs>
        <w:ind w:left="4253"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7B74643"/>
    <w:multiLevelType w:val="hybridMultilevel"/>
    <w:tmpl w:val="824AF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2B21B9"/>
    <w:multiLevelType w:val="hybridMultilevel"/>
    <w:tmpl w:val="FD123EA6"/>
    <w:lvl w:ilvl="0" w:tplc="C5DADB3E">
      <w:start w:val="1"/>
      <w:numFmt w:val="lowerRoman"/>
      <w:pStyle w:val="Definition2"/>
      <w:lvlText w:val="(%1)"/>
      <w:lvlJc w:val="left"/>
      <w:pPr>
        <w:tabs>
          <w:tab w:val="num" w:pos="1411"/>
        </w:tabs>
        <w:ind w:left="1411"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BC46DC"/>
    <w:multiLevelType w:val="hybridMultilevel"/>
    <w:tmpl w:val="5378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66772B"/>
    <w:multiLevelType w:val="hybridMultilevel"/>
    <w:tmpl w:val="EC10C8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BF85557"/>
    <w:multiLevelType w:val="hybridMultilevel"/>
    <w:tmpl w:val="781C2E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CE60B89"/>
    <w:multiLevelType w:val="hybridMultilevel"/>
    <w:tmpl w:val="4C68CA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DD375E3"/>
    <w:multiLevelType w:val="hybridMultilevel"/>
    <w:tmpl w:val="AFB8C2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EA20CFC"/>
    <w:multiLevelType w:val="hybridMultilevel"/>
    <w:tmpl w:val="9F1A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5351B"/>
    <w:multiLevelType w:val="hybridMultilevel"/>
    <w:tmpl w:val="3862965C"/>
    <w:lvl w:ilvl="0" w:tplc="C812E454">
      <w:start w:val="1"/>
      <w:numFmt w:val="upperLetter"/>
      <w:pStyle w:val="Recitals"/>
      <w:lvlText w:val="(%1)"/>
      <w:lvlJc w:val="left"/>
      <w:pPr>
        <w:tabs>
          <w:tab w:val="num" w:pos="706"/>
        </w:tabs>
        <w:ind w:left="706" w:hanging="70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680518"/>
    <w:multiLevelType w:val="hybridMultilevel"/>
    <w:tmpl w:val="4CB415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297251887">
    <w:abstractNumId w:val="2"/>
  </w:num>
  <w:num w:numId="2" w16cid:durableId="795677273">
    <w:abstractNumId w:val="3"/>
  </w:num>
  <w:num w:numId="3" w16cid:durableId="522205345">
    <w:abstractNumId w:val="18"/>
  </w:num>
  <w:num w:numId="4" w16cid:durableId="1825463078">
    <w:abstractNumId w:val="6"/>
  </w:num>
  <w:num w:numId="5" w16cid:durableId="870649614">
    <w:abstractNumId w:val="25"/>
  </w:num>
  <w:num w:numId="6" w16cid:durableId="1693796049">
    <w:abstractNumId w:val="4"/>
  </w:num>
  <w:num w:numId="7" w16cid:durableId="1032346478">
    <w:abstractNumId w:val="11"/>
  </w:num>
  <w:num w:numId="8" w16cid:durableId="280066456">
    <w:abstractNumId w:val="16"/>
  </w:num>
  <w:num w:numId="9" w16cid:durableId="547424968">
    <w:abstractNumId w:val="0"/>
  </w:num>
  <w:num w:numId="10" w16cid:durableId="1277904359">
    <w:abstractNumId w:val="24"/>
  </w:num>
  <w:num w:numId="11" w16cid:durableId="1324705026">
    <w:abstractNumId w:val="9"/>
  </w:num>
  <w:num w:numId="12" w16cid:durableId="1869291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4257370">
    <w:abstractNumId w:val="8"/>
  </w:num>
  <w:num w:numId="14" w16cid:durableId="278998301">
    <w:abstractNumId w:val="8"/>
  </w:num>
  <w:num w:numId="15" w16cid:durableId="1747417433">
    <w:abstractNumId w:val="9"/>
  </w:num>
  <w:num w:numId="16" w16cid:durableId="1004165271">
    <w:abstractNumId w:val="20"/>
  </w:num>
  <w:num w:numId="17" w16cid:durableId="761997715">
    <w:abstractNumId w:val="1"/>
  </w:num>
  <w:num w:numId="18" w16cid:durableId="949896887">
    <w:abstractNumId w:val="22"/>
  </w:num>
  <w:num w:numId="19" w16cid:durableId="140536796">
    <w:abstractNumId w:val="21"/>
  </w:num>
  <w:num w:numId="20" w16cid:durableId="1414400752">
    <w:abstractNumId w:val="14"/>
  </w:num>
  <w:num w:numId="21" w16cid:durableId="1312632971">
    <w:abstractNumId w:val="15"/>
  </w:num>
  <w:num w:numId="22" w16cid:durableId="1945914884">
    <w:abstractNumId w:val="23"/>
  </w:num>
  <w:num w:numId="23" w16cid:durableId="86922454">
    <w:abstractNumId w:val="11"/>
  </w:num>
  <w:num w:numId="24" w16cid:durableId="1669209116">
    <w:abstractNumId w:val="11"/>
  </w:num>
  <w:num w:numId="25" w16cid:durableId="736124458">
    <w:abstractNumId w:val="11"/>
  </w:num>
  <w:num w:numId="26" w16cid:durableId="866412565">
    <w:abstractNumId w:val="11"/>
  </w:num>
  <w:num w:numId="27" w16cid:durableId="569854997">
    <w:abstractNumId w:val="11"/>
  </w:num>
  <w:num w:numId="28" w16cid:durableId="1391031590">
    <w:abstractNumId w:val="11"/>
  </w:num>
  <w:num w:numId="29" w16cid:durableId="1256935189">
    <w:abstractNumId w:val="11"/>
  </w:num>
  <w:num w:numId="30" w16cid:durableId="1185442177">
    <w:abstractNumId w:val="11"/>
  </w:num>
  <w:num w:numId="31" w16cid:durableId="566574517">
    <w:abstractNumId w:val="11"/>
  </w:num>
  <w:num w:numId="32" w16cid:durableId="111292167">
    <w:abstractNumId w:val="11"/>
  </w:num>
  <w:num w:numId="33" w16cid:durableId="1155874615">
    <w:abstractNumId w:val="11"/>
  </w:num>
  <w:num w:numId="34" w16cid:durableId="1126504509">
    <w:abstractNumId w:val="11"/>
  </w:num>
  <w:num w:numId="35" w16cid:durableId="786003660">
    <w:abstractNumId w:val="5"/>
  </w:num>
  <w:num w:numId="36" w16cid:durableId="1562404349">
    <w:abstractNumId w:val="13"/>
  </w:num>
  <w:num w:numId="37" w16cid:durableId="1844054479">
    <w:abstractNumId w:val="7"/>
  </w:num>
  <w:num w:numId="38" w16cid:durableId="271284808">
    <w:abstractNumId w:val="10"/>
  </w:num>
  <w:num w:numId="39" w16cid:durableId="1303465716">
    <w:abstractNumId w:val="19"/>
  </w:num>
  <w:num w:numId="40" w16cid:durableId="494104736">
    <w:abstractNumId w:val="26"/>
  </w:num>
  <w:num w:numId="41" w16cid:durableId="894899388">
    <w:abstractNumId w:val="17"/>
  </w:num>
  <w:num w:numId="42" w16cid:durableId="1410928015">
    <w:abstractNumId w:val="12"/>
  </w:num>
  <w:num w:numId="43" w16cid:durableId="1951666099">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90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9F"/>
    <w:rsid w:val="0000297B"/>
    <w:rsid w:val="000438FF"/>
    <w:rsid w:val="00045457"/>
    <w:rsid w:val="000500A8"/>
    <w:rsid w:val="00050714"/>
    <w:rsid w:val="00055E24"/>
    <w:rsid w:val="00057011"/>
    <w:rsid w:val="00063FB9"/>
    <w:rsid w:val="00066C74"/>
    <w:rsid w:val="000768AE"/>
    <w:rsid w:val="0008389D"/>
    <w:rsid w:val="00086370"/>
    <w:rsid w:val="000A7243"/>
    <w:rsid w:val="000C6650"/>
    <w:rsid w:val="000D7E29"/>
    <w:rsid w:val="000E1901"/>
    <w:rsid w:val="000F191D"/>
    <w:rsid w:val="00102B2D"/>
    <w:rsid w:val="001053C6"/>
    <w:rsid w:val="00126F9F"/>
    <w:rsid w:val="00133628"/>
    <w:rsid w:val="001347C6"/>
    <w:rsid w:val="00143140"/>
    <w:rsid w:val="00144A62"/>
    <w:rsid w:val="001515CB"/>
    <w:rsid w:val="001520A3"/>
    <w:rsid w:val="0015329A"/>
    <w:rsid w:val="001560CF"/>
    <w:rsid w:val="00163930"/>
    <w:rsid w:val="0016498C"/>
    <w:rsid w:val="00172527"/>
    <w:rsid w:val="00172C74"/>
    <w:rsid w:val="00173D4B"/>
    <w:rsid w:val="001773C3"/>
    <w:rsid w:val="001816A9"/>
    <w:rsid w:val="001841F3"/>
    <w:rsid w:val="0018685D"/>
    <w:rsid w:val="001A2882"/>
    <w:rsid w:val="001A288E"/>
    <w:rsid w:val="001A5DA2"/>
    <w:rsid w:val="001B08F5"/>
    <w:rsid w:val="001B4C93"/>
    <w:rsid w:val="001C23DE"/>
    <w:rsid w:val="001C41BD"/>
    <w:rsid w:val="001C64DE"/>
    <w:rsid w:val="001C7360"/>
    <w:rsid w:val="001D4EA9"/>
    <w:rsid w:val="00205C56"/>
    <w:rsid w:val="002156AB"/>
    <w:rsid w:val="00227644"/>
    <w:rsid w:val="00231184"/>
    <w:rsid w:val="00242DAD"/>
    <w:rsid w:val="0025327E"/>
    <w:rsid w:val="00260DB0"/>
    <w:rsid w:val="0026183C"/>
    <w:rsid w:val="00263915"/>
    <w:rsid w:val="00266041"/>
    <w:rsid w:val="00274EB7"/>
    <w:rsid w:val="002775BA"/>
    <w:rsid w:val="00284980"/>
    <w:rsid w:val="00290ABC"/>
    <w:rsid w:val="002B14F7"/>
    <w:rsid w:val="002B47DF"/>
    <w:rsid w:val="002B65E4"/>
    <w:rsid w:val="002D264C"/>
    <w:rsid w:val="00307BA2"/>
    <w:rsid w:val="00312191"/>
    <w:rsid w:val="00320679"/>
    <w:rsid w:val="00321FB9"/>
    <w:rsid w:val="0032440E"/>
    <w:rsid w:val="003412A4"/>
    <w:rsid w:val="00345088"/>
    <w:rsid w:val="003459AD"/>
    <w:rsid w:val="003477FC"/>
    <w:rsid w:val="00351D54"/>
    <w:rsid w:val="00352CAA"/>
    <w:rsid w:val="003539E1"/>
    <w:rsid w:val="003804E4"/>
    <w:rsid w:val="00393293"/>
    <w:rsid w:val="00395A67"/>
    <w:rsid w:val="003A49B3"/>
    <w:rsid w:val="003C6DAC"/>
    <w:rsid w:val="003D6146"/>
    <w:rsid w:val="003F0A7C"/>
    <w:rsid w:val="003F1056"/>
    <w:rsid w:val="00414E86"/>
    <w:rsid w:val="004165F4"/>
    <w:rsid w:val="00416F0B"/>
    <w:rsid w:val="00422F7D"/>
    <w:rsid w:val="0043088F"/>
    <w:rsid w:val="004424EE"/>
    <w:rsid w:val="00460EA5"/>
    <w:rsid w:val="00463882"/>
    <w:rsid w:val="004701CE"/>
    <w:rsid w:val="00473CA9"/>
    <w:rsid w:val="004768BE"/>
    <w:rsid w:val="004B5803"/>
    <w:rsid w:val="004B5A34"/>
    <w:rsid w:val="004B5A8E"/>
    <w:rsid w:val="004B7DA0"/>
    <w:rsid w:val="004E0469"/>
    <w:rsid w:val="004F1057"/>
    <w:rsid w:val="004F2E88"/>
    <w:rsid w:val="004F54AF"/>
    <w:rsid w:val="005203D7"/>
    <w:rsid w:val="005231B3"/>
    <w:rsid w:val="00545D24"/>
    <w:rsid w:val="00560790"/>
    <w:rsid w:val="0057184E"/>
    <w:rsid w:val="00571A30"/>
    <w:rsid w:val="00572FD8"/>
    <w:rsid w:val="00574622"/>
    <w:rsid w:val="00581DA3"/>
    <w:rsid w:val="00582B2C"/>
    <w:rsid w:val="00585850"/>
    <w:rsid w:val="0058654D"/>
    <w:rsid w:val="00586BE1"/>
    <w:rsid w:val="005C64C5"/>
    <w:rsid w:val="005D25D1"/>
    <w:rsid w:val="005D2676"/>
    <w:rsid w:val="005D584E"/>
    <w:rsid w:val="005E1122"/>
    <w:rsid w:val="005F1A12"/>
    <w:rsid w:val="005F7805"/>
    <w:rsid w:val="00607F9A"/>
    <w:rsid w:val="0061050D"/>
    <w:rsid w:val="00612852"/>
    <w:rsid w:val="00616F17"/>
    <w:rsid w:val="00621BB3"/>
    <w:rsid w:val="006311AA"/>
    <w:rsid w:val="00631CCE"/>
    <w:rsid w:val="00634383"/>
    <w:rsid w:val="00644D75"/>
    <w:rsid w:val="0064685C"/>
    <w:rsid w:val="00653B11"/>
    <w:rsid w:val="0066220B"/>
    <w:rsid w:val="00671C92"/>
    <w:rsid w:val="006808A8"/>
    <w:rsid w:val="00682542"/>
    <w:rsid w:val="00685C03"/>
    <w:rsid w:val="00692DAA"/>
    <w:rsid w:val="006936B5"/>
    <w:rsid w:val="00693C6A"/>
    <w:rsid w:val="006A0DAA"/>
    <w:rsid w:val="006E4EF2"/>
    <w:rsid w:val="006E5405"/>
    <w:rsid w:val="006E698C"/>
    <w:rsid w:val="006F7E87"/>
    <w:rsid w:val="00700AD4"/>
    <w:rsid w:val="00706257"/>
    <w:rsid w:val="00711CF8"/>
    <w:rsid w:val="0072203B"/>
    <w:rsid w:val="007410F3"/>
    <w:rsid w:val="00746651"/>
    <w:rsid w:val="00761FDC"/>
    <w:rsid w:val="0076680D"/>
    <w:rsid w:val="00785BBF"/>
    <w:rsid w:val="00787CB8"/>
    <w:rsid w:val="007A2731"/>
    <w:rsid w:val="007C3250"/>
    <w:rsid w:val="007D0F28"/>
    <w:rsid w:val="007D3346"/>
    <w:rsid w:val="007D6BCC"/>
    <w:rsid w:val="007F524B"/>
    <w:rsid w:val="008057C6"/>
    <w:rsid w:val="008108EF"/>
    <w:rsid w:val="0081090C"/>
    <w:rsid w:val="00813FC3"/>
    <w:rsid w:val="008175C2"/>
    <w:rsid w:val="00823C55"/>
    <w:rsid w:val="008243CE"/>
    <w:rsid w:val="00824FDD"/>
    <w:rsid w:val="00830EBE"/>
    <w:rsid w:val="008359F4"/>
    <w:rsid w:val="0084158B"/>
    <w:rsid w:val="008502DE"/>
    <w:rsid w:val="0085081E"/>
    <w:rsid w:val="00851117"/>
    <w:rsid w:val="008641D5"/>
    <w:rsid w:val="00877661"/>
    <w:rsid w:val="00884DBC"/>
    <w:rsid w:val="008851F2"/>
    <w:rsid w:val="00886F02"/>
    <w:rsid w:val="008A5716"/>
    <w:rsid w:val="008A6B6E"/>
    <w:rsid w:val="008A6B85"/>
    <w:rsid w:val="008A795A"/>
    <w:rsid w:val="008B3EDD"/>
    <w:rsid w:val="008B40FB"/>
    <w:rsid w:val="008B7E49"/>
    <w:rsid w:val="008C21F8"/>
    <w:rsid w:val="008C4BC3"/>
    <w:rsid w:val="008D7B51"/>
    <w:rsid w:val="008E2C90"/>
    <w:rsid w:val="008E4F20"/>
    <w:rsid w:val="008F1702"/>
    <w:rsid w:val="00944007"/>
    <w:rsid w:val="0096270A"/>
    <w:rsid w:val="0097511F"/>
    <w:rsid w:val="009764B6"/>
    <w:rsid w:val="00977F72"/>
    <w:rsid w:val="00992D6E"/>
    <w:rsid w:val="00992DDD"/>
    <w:rsid w:val="009A2302"/>
    <w:rsid w:val="009B5D83"/>
    <w:rsid w:val="009B641F"/>
    <w:rsid w:val="009B64A4"/>
    <w:rsid w:val="009B6F6A"/>
    <w:rsid w:val="009C1FF5"/>
    <w:rsid w:val="009C690C"/>
    <w:rsid w:val="009D7478"/>
    <w:rsid w:val="009E0DA9"/>
    <w:rsid w:val="009E6561"/>
    <w:rsid w:val="009E7640"/>
    <w:rsid w:val="009F378E"/>
    <w:rsid w:val="00A069D3"/>
    <w:rsid w:val="00A1541E"/>
    <w:rsid w:val="00A15427"/>
    <w:rsid w:val="00A21562"/>
    <w:rsid w:val="00A239CC"/>
    <w:rsid w:val="00A23FEC"/>
    <w:rsid w:val="00A273A1"/>
    <w:rsid w:val="00A3107A"/>
    <w:rsid w:val="00A41B15"/>
    <w:rsid w:val="00A46398"/>
    <w:rsid w:val="00A5033A"/>
    <w:rsid w:val="00A51A3D"/>
    <w:rsid w:val="00A5395F"/>
    <w:rsid w:val="00A67BB5"/>
    <w:rsid w:val="00A70B77"/>
    <w:rsid w:val="00A74C30"/>
    <w:rsid w:val="00A7612F"/>
    <w:rsid w:val="00A82B3A"/>
    <w:rsid w:val="00A9391A"/>
    <w:rsid w:val="00AB158F"/>
    <w:rsid w:val="00AB4B30"/>
    <w:rsid w:val="00AB5747"/>
    <w:rsid w:val="00AD1663"/>
    <w:rsid w:val="00AE0D28"/>
    <w:rsid w:val="00AE3C8F"/>
    <w:rsid w:val="00B17C5C"/>
    <w:rsid w:val="00B347CC"/>
    <w:rsid w:val="00B40CAE"/>
    <w:rsid w:val="00B44FCA"/>
    <w:rsid w:val="00B456FE"/>
    <w:rsid w:val="00B467DD"/>
    <w:rsid w:val="00B64197"/>
    <w:rsid w:val="00B65FD4"/>
    <w:rsid w:val="00B66EC8"/>
    <w:rsid w:val="00B738DC"/>
    <w:rsid w:val="00B8445A"/>
    <w:rsid w:val="00B94C68"/>
    <w:rsid w:val="00BA7664"/>
    <w:rsid w:val="00BB3408"/>
    <w:rsid w:val="00BC544C"/>
    <w:rsid w:val="00BD2843"/>
    <w:rsid w:val="00BD46B0"/>
    <w:rsid w:val="00BD5E26"/>
    <w:rsid w:val="00BE3CFD"/>
    <w:rsid w:val="00BE4E5B"/>
    <w:rsid w:val="00BE6793"/>
    <w:rsid w:val="00BE6BBF"/>
    <w:rsid w:val="00BF3E62"/>
    <w:rsid w:val="00C01017"/>
    <w:rsid w:val="00C01148"/>
    <w:rsid w:val="00C0181F"/>
    <w:rsid w:val="00C15CA0"/>
    <w:rsid w:val="00C22BD9"/>
    <w:rsid w:val="00C23577"/>
    <w:rsid w:val="00C27357"/>
    <w:rsid w:val="00C4460F"/>
    <w:rsid w:val="00C62378"/>
    <w:rsid w:val="00C73E6F"/>
    <w:rsid w:val="00C77C33"/>
    <w:rsid w:val="00C77DF0"/>
    <w:rsid w:val="00C8221E"/>
    <w:rsid w:val="00C85EBB"/>
    <w:rsid w:val="00C976D1"/>
    <w:rsid w:val="00CB1D2B"/>
    <w:rsid w:val="00CC050C"/>
    <w:rsid w:val="00CD4168"/>
    <w:rsid w:val="00CD428A"/>
    <w:rsid w:val="00CE7F1B"/>
    <w:rsid w:val="00CF4671"/>
    <w:rsid w:val="00D03A5A"/>
    <w:rsid w:val="00D03F17"/>
    <w:rsid w:val="00D17761"/>
    <w:rsid w:val="00D227C3"/>
    <w:rsid w:val="00D262D8"/>
    <w:rsid w:val="00D3437B"/>
    <w:rsid w:val="00D34E74"/>
    <w:rsid w:val="00D52358"/>
    <w:rsid w:val="00D53AF3"/>
    <w:rsid w:val="00D55725"/>
    <w:rsid w:val="00D81A56"/>
    <w:rsid w:val="00D910FF"/>
    <w:rsid w:val="00D97E30"/>
    <w:rsid w:val="00DB105A"/>
    <w:rsid w:val="00DB22CA"/>
    <w:rsid w:val="00DC69CF"/>
    <w:rsid w:val="00DD3A30"/>
    <w:rsid w:val="00DF3E21"/>
    <w:rsid w:val="00E10321"/>
    <w:rsid w:val="00E1651E"/>
    <w:rsid w:val="00E17226"/>
    <w:rsid w:val="00E2157B"/>
    <w:rsid w:val="00E2491E"/>
    <w:rsid w:val="00E30E19"/>
    <w:rsid w:val="00E35EC8"/>
    <w:rsid w:val="00E455A1"/>
    <w:rsid w:val="00E517D0"/>
    <w:rsid w:val="00E64085"/>
    <w:rsid w:val="00E76A8D"/>
    <w:rsid w:val="00E9057E"/>
    <w:rsid w:val="00EA74F9"/>
    <w:rsid w:val="00EC2A63"/>
    <w:rsid w:val="00ED0816"/>
    <w:rsid w:val="00ED3F24"/>
    <w:rsid w:val="00EE2B84"/>
    <w:rsid w:val="00EE6A94"/>
    <w:rsid w:val="00F0411E"/>
    <w:rsid w:val="00F20A7E"/>
    <w:rsid w:val="00F316D4"/>
    <w:rsid w:val="00F441E2"/>
    <w:rsid w:val="00F519C7"/>
    <w:rsid w:val="00F51BE6"/>
    <w:rsid w:val="00F529A3"/>
    <w:rsid w:val="00F54758"/>
    <w:rsid w:val="00F63056"/>
    <w:rsid w:val="00F66DB2"/>
    <w:rsid w:val="00F74359"/>
    <w:rsid w:val="00F77B80"/>
    <w:rsid w:val="00F81565"/>
    <w:rsid w:val="00F84CE8"/>
    <w:rsid w:val="00FA02A9"/>
    <w:rsid w:val="00FB1208"/>
    <w:rsid w:val="00FC6570"/>
    <w:rsid w:val="00FC6A4F"/>
    <w:rsid w:val="00FD4704"/>
    <w:rsid w:val="00FF3DFD"/>
    <w:rsid w:val="00FF5F39"/>
    <w:rsid w:val="00FF62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5BB83EB4"/>
  <w15:docId w15:val="{0A8A8E0A-5A42-434F-9148-71BE025A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Pr>
      <w:rFonts w:ascii="Arial" w:eastAsia="Times New Roman" w:hAnsi="Arial" w:cs="Times New Roman"/>
      <w:szCs w:val="24"/>
      <w:lang w:eastAsia="en-US"/>
    </w:rPr>
  </w:style>
  <w:style w:type="paragraph" w:styleId="Heading1">
    <w:name w:val="heading 1"/>
    <w:basedOn w:val="BodyText"/>
    <w:next w:val="BodyText1"/>
    <w:link w:val="Heading1Char"/>
    <w:qFormat/>
    <w:pPr>
      <w:numPr>
        <w:ilvl w:val="1"/>
        <w:numId w:val="8"/>
      </w:numPr>
      <w:outlineLvl w:val="0"/>
    </w:pPr>
    <w:rPr>
      <w:rFonts w:cs="Arial"/>
      <w:bCs/>
      <w:kern w:val="32"/>
      <w:szCs w:val="32"/>
    </w:rPr>
  </w:style>
  <w:style w:type="paragraph" w:styleId="Heading2">
    <w:name w:val="heading 2"/>
    <w:basedOn w:val="BodyText"/>
    <w:next w:val="BodyText2"/>
    <w:link w:val="Heading2Char"/>
    <w:qFormat/>
    <w:pPr>
      <w:keepNext/>
      <w:numPr>
        <w:ilvl w:val="2"/>
        <w:numId w:val="8"/>
      </w:numPr>
      <w:outlineLvl w:val="1"/>
    </w:pPr>
    <w:rPr>
      <w:rFonts w:cs="Arial"/>
      <w:b/>
      <w:bCs/>
      <w:iCs/>
      <w:szCs w:val="28"/>
    </w:rPr>
  </w:style>
  <w:style w:type="paragraph" w:styleId="Heading3">
    <w:name w:val="heading 3"/>
    <w:basedOn w:val="BodyText"/>
    <w:next w:val="BodyText3"/>
    <w:link w:val="Heading3Char"/>
    <w:qFormat/>
    <w:pPr>
      <w:numPr>
        <w:ilvl w:val="3"/>
        <w:numId w:val="8"/>
      </w:numPr>
      <w:outlineLvl w:val="2"/>
    </w:pPr>
    <w:rPr>
      <w:rFonts w:cs="Arial"/>
      <w:bCs/>
      <w:szCs w:val="26"/>
    </w:rPr>
  </w:style>
  <w:style w:type="paragraph" w:styleId="Heading4">
    <w:name w:val="heading 4"/>
    <w:basedOn w:val="BodyText"/>
    <w:next w:val="BodyText4"/>
    <w:link w:val="Heading4Char"/>
    <w:qFormat/>
    <w:pPr>
      <w:numPr>
        <w:ilvl w:val="4"/>
        <w:numId w:val="8"/>
      </w:numPr>
      <w:outlineLvl w:val="3"/>
    </w:pPr>
    <w:rPr>
      <w:bCs/>
      <w:szCs w:val="28"/>
    </w:rPr>
  </w:style>
  <w:style w:type="paragraph" w:styleId="Heading5">
    <w:name w:val="heading 5"/>
    <w:basedOn w:val="BodyText"/>
    <w:next w:val="BodyText5"/>
    <w:link w:val="Heading5Char"/>
    <w:qFormat/>
    <w:pPr>
      <w:numPr>
        <w:ilvl w:val="5"/>
        <w:numId w:val="8"/>
      </w:numPr>
      <w:outlineLvl w:val="4"/>
    </w:pPr>
    <w:rPr>
      <w:bCs/>
      <w:iCs/>
      <w:szCs w:val="26"/>
    </w:rPr>
  </w:style>
  <w:style w:type="paragraph" w:styleId="Heading6">
    <w:name w:val="heading 6"/>
    <w:basedOn w:val="BodyText"/>
    <w:next w:val="BodyText6"/>
    <w:link w:val="Heading6Char"/>
    <w:qFormat/>
    <w:pPr>
      <w:numPr>
        <w:ilvl w:val="6"/>
        <w:numId w:val="8"/>
      </w:numPr>
      <w:outlineLvl w:val="5"/>
    </w:pPr>
    <w:rPr>
      <w:bCs/>
      <w:szCs w:val="22"/>
    </w:rPr>
  </w:style>
  <w:style w:type="paragraph" w:styleId="Heading7">
    <w:name w:val="heading 7"/>
    <w:basedOn w:val="BodyText"/>
    <w:next w:val="BodyText7"/>
    <w:link w:val="Heading7Char"/>
    <w:qFormat/>
    <w:pPr>
      <w:numPr>
        <w:ilvl w:val="7"/>
        <w:numId w:val="8"/>
      </w:numPr>
      <w:outlineLvl w:val="6"/>
    </w:pPr>
  </w:style>
  <w:style w:type="paragraph" w:styleId="Heading8">
    <w:name w:val="heading 8"/>
    <w:basedOn w:val="Normal"/>
    <w:next w:val="Normal"/>
    <w:link w:val="Heading8Char"/>
    <w:semiHidden/>
    <w:qFormat/>
    <w:p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style>
  <w:style w:type="character" w:customStyle="1" w:styleId="BodyTextChar">
    <w:name w:val="Body Text Char"/>
    <w:basedOn w:val="DefaultParagraphFont"/>
    <w:link w:val="BodyText"/>
    <w:rPr>
      <w:rFonts w:ascii="Arial" w:eastAsia="Times New Roman" w:hAnsi="Arial" w:cs="Times New Roman"/>
      <w:szCs w:val="24"/>
      <w:lang w:eastAsia="en-US"/>
    </w:rPr>
  </w:style>
  <w:style w:type="paragraph" w:customStyle="1" w:styleId="Bodyright">
    <w:name w:val="Body right"/>
    <w:basedOn w:val="BodyText"/>
    <w:next w:val="BodyText"/>
    <w:qFormat/>
    <w:pPr>
      <w:spacing w:after="120"/>
      <w:jc w:val="right"/>
    </w:pPr>
  </w:style>
  <w:style w:type="paragraph" w:customStyle="1" w:styleId="Bodytext10">
    <w:name w:val="Body text 1"/>
    <w:basedOn w:val="BodyText"/>
    <w:pPr>
      <w:ind w:left="709"/>
    </w:pPr>
  </w:style>
  <w:style w:type="paragraph" w:styleId="BodyText2">
    <w:name w:val="Body Text 2"/>
    <w:basedOn w:val="BodyText"/>
    <w:link w:val="BodyText2Char"/>
    <w:qFormat/>
    <w:pPr>
      <w:ind w:left="709"/>
    </w:pPr>
  </w:style>
  <w:style w:type="character" w:customStyle="1" w:styleId="BodyText2Char">
    <w:name w:val="Body Text 2 Char"/>
    <w:basedOn w:val="DefaultParagraphFont"/>
    <w:link w:val="BodyText2"/>
    <w:rPr>
      <w:rFonts w:ascii="Arial" w:eastAsia="Times New Roman" w:hAnsi="Arial" w:cs="Times New Roman"/>
      <w:szCs w:val="24"/>
      <w:lang w:eastAsia="en-US"/>
    </w:rPr>
  </w:style>
  <w:style w:type="paragraph" w:styleId="BodyText3">
    <w:name w:val="Body Text 3"/>
    <w:basedOn w:val="BodyText"/>
    <w:link w:val="BodyText3Char"/>
    <w:qFormat/>
    <w:pPr>
      <w:ind w:left="1418"/>
    </w:pPr>
    <w:rPr>
      <w:szCs w:val="16"/>
    </w:rPr>
  </w:style>
  <w:style w:type="character" w:customStyle="1" w:styleId="BodyText3Char">
    <w:name w:val="Body Text 3 Char"/>
    <w:basedOn w:val="DefaultParagraphFont"/>
    <w:link w:val="BodyText3"/>
    <w:rPr>
      <w:rFonts w:ascii="Arial" w:eastAsia="Times New Roman" w:hAnsi="Arial" w:cs="Times New Roman"/>
      <w:szCs w:val="16"/>
      <w:lang w:eastAsia="en-US"/>
    </w:rPr>
  </w:style>
  <w:style w:type="paragraph" w:customStyle="1" w:styleId="Bodytext40">
    <w:name w:val="Body text 4"/>
    <w:basedOn w:val="BodyText"/>
    <w:pPr>
      <w:ind w:left="2126"/>
    </w:pPr>
  </w:style>
  <w:style w:type="paragraph" w:customStyle="1" w:styleId="Bodytext50">
    <w:name w:val="Body text 5"/>
    <w:basedOn w:val="BodyText"/>
    <w:pPr>
      <w:ind w:left="2835"/>
    </w:pPr>
  </w:style>
  <w:style w:type="paragraph" w:customStyle="1" w:styleId="Bodytext60">
    <w:name w:val="Body text 6"/>
    <w:basedOn w:val="BodyText"/>
    <w:pPr>
      <w:ind w:left="3544"/>
    </w:pPr>
  </w:style>
  <w:style w:type="paragraph" w:customStyle="1" w:styleId="Bodytext70">
    <w:name w:val="Body text 7"/>
    <w:basedOn w:val="BodyText"/>
    <w:pPr>
      <w:ind w:left="4247"/>
    </w:pPr>
  </w:style>
  <w:style w:type="paragraph" w:customStyle="1" w:styleId="Bullet">
    <w:name w:val="Bullet"/>
    <w:basedOn w:val="BodyText"/>
    <w:qFormat/>
    <w:pPr>
      <w:numPr>
        <w:numId w:val="1"/>
      </w:numPr>
    </w:pPr>
  </w:style>
  <w:style w:type="paragraph" w:customStyle="1" w:styleId="Bullet1">
    <w:name w:val="Bullet 1"/>
    <w:basedOn w:val="Bullet"/>
    <w:qFormat/>
    <w:pPr>
      <w:tabs>
        <w:tab w:val="clear" w:pos="709"/>
      </w:tabs>
      <w:ind w:left="1418"/>
    </w:pPr>
  </w:style>
  <w:style w:type="paragraph" w:customStyle="1" w:styleId="Bullet2">
    <w:name w:val="Bullet 2"/>
    <w:basedOn w:val="Bullet1"/>
    <w:qFormat/>
  </w:style>
  <w:style w:type="paragraph" w:customStyle="1" w:styleId="Bullet3">
    <w:name w:val="Bullet 3"/>
    <w:basedOn w:val="Bullet1"/>
    <w:qFormat/>
    <w:pPr>
      <w:ind w:left="2127"/>
    </w:pPr>
  </w:style>
  <w:style w:type="paragraph" w:customStyle="1" w:styleId="Bullet4">
    <w:name w:val="Bullet 4"/>
    <w:basedOn w:val="Bullet3"/>
    <w:qFormat/>
    <w:pPr>
      <w:ind w:left="2835"/>
    </w:pPr>
  </w:style>
  <w:style w:type="paragraph" w:customStyle="1" w:styleId="Bullet5">
    <w:name w:val="Bullet 5"/>
    <w:basedOn w:val="Bullet4"/>
    <w:qFormat/>
    <w:pPr>
      <w:ind w:left="3544"/>
    </w:pPr>
  </w:style>
  <w:style w:type="paragraph" w:customStyle="1" w:styleId="Bullet6">
    <w:name w:val="Bullet 6"/>
    <w:basedOn w:val="Bullet5"/>
    <w:qFormat/>
    <w:pPr>
      <w:ind w:left="4253"/>
    </w:pPr>
  </w:style>
  <w:style w:type="paragraph" w:customStyle="1" w:styleId="Bullet7">
    <w:name w:val="Bullet 7"/>
    <w:basedOn w:val="Bullet6"/>
    <w:qFormat/>
    <w:pPr>
      <w:ind w:left="4962"/>
    </w:pPr>
  </w:style>
  <w:style w:type="paragraph" w:customStyle="1" w:styleId="Coverdate">
    <w:name w:val="Cover date"/>
    <w:basedOn w:val="BodyText"/>
    <w:pPr>
      <w:pBdr>
        <w:bottom w:val="single" w:sz="6" w:space="1" w:color="auto"/>
      </w:pBdr>
      <w:tabs>
        <w:tab w:val="right" w:pos="9639"/>
      </w:tabs>
      <w:spacing w:after="2000"/>
    </w:pPr>
    <w:rPr>
      <w:szCs w:val="20"/>
    </w:rPr>
  </w:style>
  <w:style w:type="paragraph" w:customStyle="1" w:styleId="Coverdocumentdescription">
    <w:name w:val="Cover document description"/>
    <w:basedOn w:val="BodyText"/>
    <w:qFormat/>
    <w:rPr>
      <w:szCs w:val="20"/>
    </w:rPr>
  </w:style>
  <w:style w:type="paragraph" w:customStyle="1" w:styleId="CoverDocumentTitle">
    <w:name w:val="Cover Document Title"/>
    <w:basedOn w:val="BodyText"/>
    <w:qFormat/>
    <w:pPr>
      <w:spacing w:before="480" w:after="480"/>
      <w:jc w:val="center"/>
    </w:pPr>
    <w:rPr>
      <w:b/>
      <w:caps/>
      <w:szCs w:val="20"/>
    </w:rPr>
  </w:style>
  <w:style w:type="paragraph" w:customStyle="1" w:styleId="Coverpartyname">
    <w:name w:val="Cover party name"/>
    <w:basedOn w:val="BodyText"/>
    <w:next w:val="BodyText"/>
    <w:qFormat/>
    <w:pPr>
      <w:spacing w:before="480" w:after="480"/>
      <w:jc w:val="center"/>
    </w:pPr>
    <w:rPr>
      <w:b/>
    </w:rPr>
  </w:style>
  <w:style w:type="paragraph" w:customStyle="1" w:styleId="Coverpartyrole">
    <w:name w:val="Cover party role"/>
    <w:basedOn w:val="BodyText"/>
    <w:qFormat/>
    <w:pPr>
      <w:keepNext/>
      <w:jc w:val="right"/>
    </w:pPr>
    <w:rPr>
      <w:b/>
    </w:rPr>
  </w:style>
  <w:style w:type="paragraph" w:customStyle="1" w:styleId="Covertext">
    <w:name w:val="Cover text"/>
    <w:basedOn w:val="BodyText"/>
    <w:pPr>
      <w:spacing w:before="480"/>
      <w:jc w:val="center"/>
    </w:pPr>
    <w:rPr>
      <w:szCs w:val="20"/>
    </w:rPr>
  </w:style>
  <w:style w:type="paragraph" w:customStyle="1" w:styleId="Definition1">
    <w:name w:val="Definition 1"/>
    <w:basedOn w:val="BodyText2"/>
    <w:qFormat/>
    <w:pPr>
      <w:numPr>
        <w:numId w:val="2"/>
      </w:numPr>
    </w:pPr>
  </w:style>
  <w:style w:type="paragraph" w:customStyle="1" w:styleId="Definition2">
    <w:name w:val="Definition 2"/>
    <w:basedOn w:val="BodyText2"/>
    <w:qFormat/>
    <w:pPr>
      <w:numPr>
        <w:numId w:val="3"/>
      </w:numPr>
    </w:pPr>
  </w:style>
  <w:style w:type="character" w:customStyle="1" w:styleId="Definitionterm">
    <w:name w:val="Definition term"/>
    <w:basedOn w:val="DefaultParagraphFont"/>
    <w:qFormat/>
    <w:rPr>
      <w:rFonts w:ascii="Arial" w:hAnsi="Arial"/>
      <w:b/>
      <w:color w:val="000000"/>
      <w:sz w:val="22"/>
    </w:rPr>
  </w:style>
  <w:style w:type="paragraph" w:styleId="Footer">
    <w:name w:val="footer"/>
    <w:basedOn w:val="Normal"/>
    <w:link w:val="FooterChar"/>
    <w:qFormat/>
    <w:pPr>
      <w:tabs>
        <w:tab w:val="center" w:pos="4824"/>
        <w:tab w:val="right" w:pos="9634"/>
      </w:tabs>
    </w:pPr>
    <w:rPr>
      <w:sz w:val="16"/>
    </w:rPr>
  </w:style>
  <w:style w:type="character" w:customStyle="1" w:styleId="FooterChar">
    <w:name w:val="Footer Char"/>
    <w:basedOn w:val="DefaultParagraphFont"/>
    <w:link w:val="Footer"/>
    <w:rPr>
      <w:rFonts w:ascii="Arial" w:eastAsia="Times New Roman" w:hAnsi="Arial" w:cs="Times New Roman"/>
      <w:sz w:val="16"/>
      <w:szCs w:val="24"/>
      <w:lang w:eastAsia="en-US"/>
    </w:rPr>
  </w:style>
  <w:style w:type="paragraph" w:styleId="Header">
    <w:name w:val="header"/>
    <w:basedOn w:val="Normal"/>
    <w:link w:val="HeaderChar"/>
    <w:semiHidden/>
    <w:pPr>
      <w:tabs>
        <w:tab w:val="center" w:pos="4153"/>
        <w:tab w:val="right" w:pos="8306"/>
      </w:tabs>
    </w:pPr>
  </w:style>
  <w:style w:type="character" w:customStyle="1" w:styleId="HeaderChar">
    <w:name w:val="Header Char"/>
    <w:basedOn w:val="DefaultParagraphFont"/>
    <w:link w:val="Header"/>
    <w:semiHidden/>
    <w:rPr>
      <w:rFonts w:ascii="Arial" w:eastAsia="Times New Roman" w:hAnsi="Arial" w:cs="Times New Roman"/>
      <w:szCs w:val="24"/>
      <w:lang w:eastAsia="en-US"/>
    </w:rPr>
  </w:style>
  <w:style w:type="character" w:customStyle="1" w:styleId="Heading1Char">
    <w:name w:val="Heading 1 Char"/>
    <w:basedOn w:val="DefaultParagraphFont"/>
    <w:link w:val="Heading1"/>
    <w:rPr>
      <w:rFonts w:ascii="Arial" w:eastAsia="Times New Roman" w:hAnsi="Arial" w:cs="Arial"/>
      <w:bCs/>
      <w:kern w:val="32"/>
      <w:szCs w:val="32"/>
      <w:lang w:eastAsia="en-US"/>
    </w:rPr>
  </w:style>
  <w:style w:type="character" w:customStyle="1" w:styleId="Heading2Char">
    <w:name w:val="Heading 2 Char"/>
    <w:basedOn w:val="DefaultParagraphFont"/>
    <w:link w:val="Heading2"/>
    <w:rPr>
      <w:rFonts w:ascii="Arial" w:eastAsia="Times New Roman" w:hAnsi="Arial" w:cs="Arial"/>
      <w:b/>
      <w:bCs/>
      <w:iCs/>
      <w:szCs w:val="28"/>
      <w:lang w:eastAsia="en-US"/>
    </w:rPr>
  </w:style>
  <w:style w:type="character" w:customStyle="1" w:styleId="Heading3Char">
    <w:name w:val="Heading 3 Char"/>
    <w:basedOn w:val="DefaultParagraphFont"/>
    <w:link w:val="Heading3"/>
    <w:rPr>
      <w:rFonts w:ascii="Arial" w:eastAsia="Times New Roman" w:hAnsi="Arial" w:cs="Arial"/>
      <w:bCs/>
      <w:szCs w:val="26"/>
      <w:lang w:eastAsia="en-US"/>
    </w:rPr>
  </w:style>
  <w:style w:type="character" w:customStyle="1" w:styleId="Heading4Char">
    <w:name w:val="Heading 4 Char"/>
    <w:basedOn w:val="DefaultParagraphFont"/>
    <w:link w:val="Heading4"/>
    <w:rPr>
      <w:rFonts w:ascii="Arial" w:eastAsia="Times New Roman" w:hAnsi="Arial" w:cs="Times New Roman"/>
      <w:bCs/>
      <w:szCs w:val="28"/>
      <w:lang w:eastAsia="en-US"/>
    </w:rPr>
  </w:style>
  <w:style w:type="character" w:customStyle="1" w:styleId="Heading5Char">
    <w:name w:val="Heading 5 Char"/>
    <w:basedOn w:val="DefaultParagraphFont"/>
    <w:link w:val="Heading5"/>
    <w:rPr>
      <w:rFonts w:ascii="Arial" w:eastAsia="Times New Roman" w:hAnsi="Arial" w:cs="Times New Roman"/>
      <w:bCs/>
      <w:iCs/>
      <w:szCs w:val="26"/>
      <w:lang w:eastAsia="en-US"/>
    </w:rPr>
  </w:style>
  <w:style w:type="character" w:customStyle="1" w:styleId="Heading6Char">
    <w:name w:val="Heading 6 Char"/>
    <w:basedOn w:val="DefaultParagraphFont"/>
    <w:link w:val="Heading6"/>
    <w:rPr>
      <w:rFonts w:ascii="Arial" w:eastAsia="Times New Roman" w:hAnsi="Arial" w:cs="Times New Roman"/>
      <w:bCs/>
      <w:lang w:eastAsia="en-US"/>
    </w:rPr>
  </w:style>
  <w:style w:type="character" w:customStyle="1" w:styleId="Heading7Char">
    <w:name w:val="Heading 7 Char"/>
    <w:basedOn w:val="DefaultParagraphFont"/>
    <w:link w:val="Heading7"/>
    <w:rPr>
      <w:rFonts w:ascii="Arial" w:eastAsia="Times New Roman" w:hAnsi="Arial" w:cs="Times New Roman"/>
      <w:szCs w:val="24"/>
      <w:lang w:eastAsia="en-US"/>
    </w:rPr>
  </w:style>
  <w:style w:type="character" w:customStyle="1" w:styleId="Heading8Char">
    <w:name w:val="Heading 8 Char"/>
    <w:basedOn w:val="DefaultParagraphFont"/>
    <w:link w:val="Heading8"/>
    <w:semiHidden/>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semiHidden/>
    <w:rPr>
      <w:rFonts w:ascii="Arial" w:eastAsia="Times New Roman" w:hAnsi="Arial" w:cs="Arial"/>
      <w:lang w:eastAsia="en-US"/>
    </w:rPr>
  </w:style>
  <w:style w:type="character" w:styleId="Hyperlink">
    <w:name w:val="Hyperlink"/>
    <w:basedOn w:val="DefaultParagraphFont"/>
    <w:uiPriority w:val="99"/>
    <w:rPr>
      <w:color w:val="0000FF"/>
      <w:u w:val="single"/>
    </w:rPr>
  </w:style>
  <w:style w:type="paragraph" w:customStyle="1" w:styleId="LevelHeading1">
    <w:name w:val="Level Heading 1"/>
    <w:basedOn w:val="Heading1"/>
    <w:next w:val="BodyText1"/>
    <w:qFormat/>
    <w:pPr>
      <w:keepNext/>
    </w:pPr>
    <w:rPr>
      <w:rFonts w:ascii="Arial Bold" w:hAnsi="Arial Bold"/>
      <w:b/>
    </w:rPr>
  </w:style>
  <w:style w:type="paragraph" w:customStyle="1" w:styleId="LevelHeading2">
    <w:name w:val="Level Heading 2"/>
    <w:basedOn w:val="Heading2"/>
    <w:next w:val="BodyText2"/>
    <w:qFormat/>
    <w:rPr>
      <w:b w:val="0"/>
      <w:bCs w:val="0"/>
      <w:iCs w:val="0"/>
    </w:rPr>
  </w:style>
  <w:style w:type="paragraph" w:customStyle="1" w:styleId="PageHeading">
    <w:name w:val="Page Heading"/>
    <w:basedOn w:val="BodyText"/>
    <w:next w:val="BodyText"/>
    <w:qFormat/>
    <w:pPr>
      <w:jc w:val="center"/>
    </w:pPr>
    <w:rPr>
      <w:b/>
      <w:caps/>
    </w:rPr>
  </w:style>
  <w:style w:type="paragraph" w:customStyle="1" w:styleId="Parties">
    <w:name w:val="Parties"/>
    <w:basedOn w:val="BodyText"/>
    <w:qFormat/>
    <w:pPr>
      <w:numPr>
        <w:numId w:val="4"/>
      </w:numPr>
    </w:pPr>
  </w:style>
  <w:style w:type="character" w:customStyle="1" w:styleId="Quote1">
    <w:name w:val="Quote1"/>
    <w:basedOn w:val="DefaultParagraphFont"/>
    <w:semiHidden/>
    <w:rPr>
      <w:rFonts w:ascii="Arial" w:hAnsi="Arial"/>
      <w:i/>
      <w:sz w:val="22"/>
    </w:rPr>
  </w:style>
  <w:style w:type="paragraph" w:customStyle="1" w:styleId="Recitals">
    <w:name w:val="Recitals"/>
    <w:basedOn w:val="BodyText"/>
    <w:qFormat/>
    <w:pPr>
      <w:numPr>
        <w:numId w:val="5"/>
      </w:numPr>
    </w:pPr>
  </w:style>
  <w:style w:type="paragraph" w:customStyle="1" w:styleId="RestartNumberingH1andLH1">
    <w:name w:val="Restart Numbering (H1 and LH1)"/>
    <w:basedOn w:val="BodyText"/>
    <w:next w:val="LevelHeading1"/>
    <w:semiHidden/>
    <w:pPr>
      <w:numPr>
        <w:numId w:val="6"/>
      </w:numPr>
      <w:spacing w:after="0"/>
    </w:pPr>
  </w:style>
  <w:style w:type="paragraph" w:customStyle="1" w:styleId="RestartNumberingS1SLH1">
    <w:name w:val="Restart Numbering (S1 &amp; SLH1)"/>
    <w:basedOn w:val="BodyText"/>
    <w:semiHidden/>
    <w:pPr>
      <w:numPr>
        <w:numId w:val="7"/>
      </w:numPr>
    </w:pPr>
    <w:rPr>
      <w:sz w:val="24"/>
    </w:rPr>
  </w:style>
  <w:style w:type="paragraph" w:customStyle="1" w:styleId="RPCSignature">
    <w:name w:val="RPC Signature"/>
    <w:basedOn w:val="Normal"/>
    <w:next w:val="BodyText"/>
    <w:qFormat/>
    <w:rPr>
      <w:b/>
    </w:rPr>
  </w:style>
  <w:style w:type="paragraph" w:customStyle="1" w:styleId="Schedule1">
    <w:name w:val="Schedule 1"/>
    <w:basedOn w:val="BodyText"/>
    <w:next w:val="BodyText1"/>
    <w:qFormat/>
    <w:pPr>
      <w:numPr>
        <w:ilvl w:val="3"/>
        <w:numId w:val="7"/>
      </w:numPr>
    </w:pPr>
  </w:style>
  <w:style w:type="paragraph" w:customStyle="1" w:styleId="Schedule2">
    <w:name w:val="Schedule 2"/>
    <w:basedOn w:val="BodyText"/>
    <w:next w:val="BodyText2"/>
    <w:qFormat/>
    <w:pPr>
      <w:numPr>
        <w:ilvl w:val="4"/>
        <w:numId w:val="7"/>
      </w:numPr>
    </w:pPr>
  </w:style>
  <w:style w:type="paragraph" w:customStyle="1" w:styleId="Schedule3">
    <w:name w:val="Schedule 3"/>
    <w:basedOn w:val="BodyText"/>
    <w:next w:val="BodyText3"/>
    <w:qFormat/>
    <w:pPr>
      <w:numPr>
        <w:ilvl w:val="5"/>
        <w:numId w:val="7"/>
      </w:numPr>
    </w:pPr>
  </w:style>
  <w:style w:type="paragraph" w:customStyle="1" w:styleId="Schedule4">
    <w:name w:val="Schedule 4"/>
    <w:basedOn w:val="BodyText"/>
    <w:next w:val="BodyText4"/>
    <w:qFormat/>
    <w:pPr>
      <w:numPr>
        <w:ilvl w:val="6"/>
        <w:numId w:val="7"/>
      </w:numPr>
    </w:pPr>
  </w:style>
  <w:style w:type="paragraph" w:customStyle="1" w:styleId="Schedule5">
    <w:name w:val="Schedule 5"/>
    <w:basedOn w:val="BodyText"/>
    <w:next w:val="BodyText5"/>
    <w:qFormat/>
    <w:pPr>
      <w:numPr>
        <w:ilvl w:val="7"/>
        <w:numId w:val="7"/>
      </w:numPr>
    </w:pPr>
  </w:style>
  <w:style w:type="paragraph" w:customStyle="1" w:styleId="Schedule6">
    <w:name w:val="Schedule 6"/>
    <w:basedOn w:val="BodyText"/>
    <w:next w:val="BodyText6"/>
    <w:qFormat/>
    <w:pPr>
      <w:numPr>
        <w:ilvl w:val="8"/>
        <w:numId w:val="7"/>
      </w:numPr>
    </w:pPr>
  </w:style>
  <w:style w:type="paragraph" w:customStyle="1" w:styleId="Schedule7">
    <w:name w:val="Schedule 7"/>
    <w:basedOn w:val="BodyText"/>
    <w:next w:val="BodyText7"/>
    <w:semiHidden/>
  </w:style>
  <w:style w:type="paragraph" w:customStyle="1" w:styleId="Scheduleheading">
    <w:name w:val="Schedule heading"/>
    <w:basedOn w:val="BodyText"/>
    <w:next w:val="Schedulepart"/>
    <w:qFormat/>
    <w:pPr>
      <w:pageBreakBefore/>
      <w:numPr>
        <w:ilvl w:val="1"/>
        <w:numId w:val="7"/>
      </w:numPr>
      <w:jc w:val="center"/>
    </w:pPr>
    <w:rPr>
      <w:b/>
      <w:caps/>
    </w:rPr>
  </w:style>
  <w:style w:type="paragraph" w:customStyle="1" w:styleId="ScheduleLevelHeading1">
    <w:name w:val="Schedule Level Heading 1"/>
    <w:basedOn w:val="Schedule1"/>
    <w:next w:val="BodyText1"/>
    <w:qFormat/>
    <w:pPr>
      <w:keepNext/>
    </w:pPr>
    <w:rPr>
      <w:b/>
      <w:caps/>
    </w:rPr>
  </w:style>
  <w:style w:type="paragraph" w:customStyle="1" w:styleId="ScheduleLevelHeading2">
    <w:name w:val="Schedule Level Heading 2"/>
    <w:basedOn w:val="Schedule2"/>
    <w:next w:val="BodyText2"/>
    <w:qFormat/>
    <w:rPr>
      <w:b/>
    </w:rPr>
  </w:style>
  <w:style w:type="paragraph" w:customStyle="1" w:styleId="Schedulepart">
    <w:name w:val="Schedule part"/>
    <w:basedOn w:val="BodyText"/>
    <w:next w:val="Schedule1"/>
    <w:qFormat/>
    <w:pPr>
      <w:numPr>
        <w:ilvl w:val="2"/>
        <w:numId w:val="7"/>
      </w:numPr>
      <w:jc w:val="left"/>
    </w:pPr>
    <w:rPr>
      <w:b/>
    </w:rPr>
  </w:style>
  <w:style w:type="paragraph" w:customStyle="1" w:styleId="Subtitleleft">
    <w:name w:val="Sub title left"/>
    <w:basedOn w:val="BodyText"/>
    <w:next w:val="BodyText"/>
    <w:qFormat/>
    <w:pPr>
      <w:keepNext/>
      <w:jc w:val="left"/>
    </w:pPr>
    <w:rPr>
      <w:b/>
    </w:rPr>
  </w:style>
  <w:style w:type="table" w:styleId="TableGrid">
    <w:name w:val="Table Grid"/>
    <w:basedOn w:val="TableNormal"/>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pPr>
      <w:spacing w:before="60" w:after="60"/>
      <w:jc w:val="both"/>
    </w:pPr>
    <w:rPr>
      <w:szCs w:val="20"/>
    </w:rPr>
  </w:style>
  <w:style w:type="paragraph" w:styleId="TOC1">
    <w:name w:val="toc 1"/>
    <w:basedOn w:val="Normal"/>
    <w:next w:val="ToCSubheading"/>
    <w:autoRedefine/>
    <w:uiPriority w:val="39"/>
    <w:qFormat/>
    <w:pPr>
      <w:tabs>
        <w:tab w:val="left" w:pos="547"/>
        <w:tab w:val="right" w:leader="dot" w:pos="9634"/>
      </w:tabs>
      <w:spacing w:before="60" w:after="60"/>
      <w:jc w:val="center"/>
    </w:pPr>
    <w:rPr>
      <w:caps/>
      <w:noProof/>
      <w:sz w:val="20"/>
    </w:rPr>
  </w:style>
  <w:style w:type="paragraph" w:styleId="TOC2">
    <w:name w:val="toc 2"/>
    <w:basedOn w:val="Normal"/>
    <w:next w:val="ToCSubheading"/>
    <w:autoRedefine/>
    <w:qFormat/>
    <w:pPr>
      <w:tabs>
        <w:tab w:val="left" w:pos="547"/>
        <w:tab w:val="right" w:leader="dot" w:pos="9634"/>
      </w:tabs>
      <w:spacing w:before="60" w:after="60"/>
    </w:pPr>
    <w:rPr>
      <w:sz w:val="20"/>
    </w:rPr>
  </w:style>
  <w:style w:type="paragraph" w:styleId="TOCHeading">
    <w:name w:val="TOC Heading"/>
    <w:basedOn w:val="Normal"/>
    <w:next w:val="ToCSubheading"/>
    <w:qFormat/>
    <w:pPr>
      <w:spacing w:after="240"/>
      <w:jc w:val="center"/>
    </w:pPr>
    <w:rPr>
      <w:b/>
      <w:caps/>
    </w:rPr>
  </w:style>
  <w:style w:type="paragraph" w:customStyle="1" w:styleId="ToCSubheading">
    <w:name w:val="ToC Sub heading"/>
    <w:basedOn w:val="Subtitleleft"/>
    <w:next w:val="BodyText"/>
    <w:qFormat/>
    <w:pPr>
      <w:spacing w:before="240"/>
    </w:pPr>
  </w:style>
  <w:style w:type="paragraph" w:customStyle="1" w:styleId="BodyText1">
    <w:name w:val="Body Text 1"/>
    <w:basedOn w:val="BodyText"/>
    <w:qFormat/>
    <w:pPr>
      <w:ind w:left="709"/>
    </w:pPr>
  </w:style>
  <w:style w:type="paragraph" w:customStyle="1" w:styleId="BodyText4">
    <w:name w:val="Body Text 4"/>
    <w:basedOn w:val="BodyText"/>
    <w:qFormat/>
    <w:pPr>
      <w:ind w:left="2126"/>
    </w:pPr>
  </w:style>
  <w:style w:type="paragraph" w:customStyle="1" w:styleId="BodyText5">
    <w:name w:val="Body Text 5"/>
    <w:basedOn w:val="BodyText"/>
    <w:qFormat/>
    <w:pPr>
      <w:ind w:left="2835"/>
    </w:pPr>
  </w:style>
  <w:style w:type="paragraph" w:customStyle="1" w:styleId="BodyText6">
    <w:name w:val="Body Text 6"/>
    <w:basedOn w:val="BodyText"/>
    <w:qFormat/>
    <w:pPr>
      <w:ind w:left="3544"/>
    </w:pPr>
  </w:style>
  <w:style w:type="paragraph" w:customStyle="1" w:styleId="BodyText7">
    <w:name w:val="Body Text 7"/>
    <w:basedOn w:val="BodyText"/>
    <w:qFormat/>
    <w:pPr>
      <w:ind w:left="4247"/>
    </w:pPr>
  </w:style>
  <w:style w:type="paragraph" w:customStyle="1" w:styleId="CourtHeading">
    <w:name w:val="Court Heading"/>
    <w:basedOn w:val="BodyText"/>
    <w:next w:val="BodyText"/>
    <w:qFormat/>
    <w:pPr>
      <w:tabs>
        <w:tab w:val="right" w:pos="8471"/>
      </w:tabs>
      <w:spacing w:before="120" w:after="120"/>
    </w:pPr>
    <w:rPr>
      <w:b/>
    </w:rPr>
  </w:style>
  <w:style w:type="paragraph" w:customStyle="1" w:styleId="RestartNumberingH1LH1">
    <w:name w:val="Restart Numbering (H1 &amp; LH1)"/>
    <w:basedOn w:val="BodyText"/>
    <w:next w:val="LevelHeading1"/>
    <w:semiHidden/>
    <w:pPr>
      <w:numPr>
        <w:numId w:val="8"/>
      </w:numPr>
    </w:pPr>
    <w:rPr>
      <w:sz w:val="24"/>
    </w:rPr>
  </w:style>
  <w:style w:type="character" w:styleId="PageNumber">
    <w:name w:val="page number"/>
    <w:basedOn w:val="DefaultParagraphFont"/>
    <w:qFormat/>
  </w:style>
  <w:style w:type="paragraph" w:styleId="Quote">
    <w:name w:val="Quote"/>
    <w:basedOn w:val="Normal"/>
    <w:next w:val="Normal"/>
    <w:link w:val="QuoteChar"/>
    <w:qFormat/>
    <w:rPr>
      <w:i/>
      <w:iCs/>
      <w:color w:val="000000" w:themeColor="text1"/>
    </w:rPr>
  </w:style>
  <w:style w:type="character" w:customStyle="1" w:styleId="QuoteChar">
    <w:name w:val="Quote Char"/>
    <w:basedOn w:val="DefaultParagraphFont"/>
    <w:link w:val="Quote"/>
    <w:uiPriority w:val="29"/>
    <w:rPr>
      <w:rFonts w:ascii="Arial" w:eastAsia="Times New Roman" w:hAnsi="Arial" w:cs="Times New Roman"/>
      <w:i/>
      <w:iCs/>
      <w:color w:val="000000" w:themeColor="text1"/>
      <w:szCs w:val="24"/>
      <w:lang w:eastAsia="en-US"/>
    </w:rPr>
  </w:style>
  <w:style w:type="character" w:styleId="Strong">
    <w:name w:val="Strong"/>
    <w:basedOn w:val="DefaultParagraphFont"/>
    <w:uiPriority w:val="22"/>
    <w:semiHidden/>
    <w:qFormat/>
    <w:rPr>
      <w:b/>
      <w:bCs/>
    </w:rPr>
  </w:style>
  <w:style w:type="paragraph" w:styleId="Subtitle">
    <w:name w:val="Subtitle"/>
    <w:basedOn w:val="Normal"/>
    <w:next w:val="Normal"/>
    <w:link w:val="SubtitleChar"/>
    <w:uiPriority w:val="11"/>
    <w:semiHidden/>
    <w:qFormat/>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uiPriority w:val="10"/>
    <w:semiHidden/>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Emphasis">
    <w:name w:val="Emphasis"/>
    <w:basedOn w:val="DefaultParagraphFont"/>
    <w:uiPriority w:val="20"/>
    <w:semiHidden/>
    <w:qFormat/>
    <w:rPr>
      <w:i/>
      <w:iCs/>
    </w:rPr>
  </w:style>
  <w:style w:type="paragraph" w:styleId="NoSpacing">
    <w:name w:val="No Spacing"/>
    <w:uiPriority w:val="1"/>
    <w:semiHidden/>
    <w:qFormat/>
    <w:rPr>
      <w:rFonts w:ascii="Arial" w:eastAsia="Times New Roman" w:hAnsi="Arial" w:cs="Times New Roman"/>
      <w:szCs w:val="24"/>
      <w:lang w:eastAsia="en-US"/>
    </w:rPr>
  </w:style>
  <w:style w:type="character" w:styleId="SubtleEmphasis">
    <w:name w:val="Subtle Emphasis"/>
    <w:basedOn w:val="DefaultParagraphFont"/>
    <w:uiPriority w:val="19"/>
    <w:semiHidden/>
    <w:qFormat/>
    <w:rPr>
      <w:i/>
      <w:iCs/>
      <w:color w:val="808080" w:themeColor="text1" w:themeTint="7F"/>
    </w:rPr>
  </w:style>
  <w:style w:type="character" w:styleId="IntenseEmphasis">
    <w:name w:val="Intense Emphasis"/>
    <w:basedOn w:val="DefaultParagraphFont"/>
    <w:uiPriority w:val="21"/>
    <w:semiHidden/>
    <w:qFormat/>
    <w:rPr>
      <w:b/>
      <w:bCs/>
      <w:i/>
      <w:iCs/>
      <w:color w:val="4F81BD" w:themeColor="accent1"/>
    </w:rPr>
  </w:style>
  <w:style w:type="paragraph" w:styleId="IntenseQuote">
    <w:name w:val="Intense Quote"/>
    <w:basedOn w:val="Normal"/>
    <w:next w:val="Normal"/>
    <w:link w:val="IntenseQuoteChar"/>
    <w:uiPriority w:val="30"/>
    <w:semiHidden/>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eastAsia="Times New Roman" w:hAnsi="Arial" w:cs="Times New Roman"/>
      <w:b/>
      <w:bCs/>
      <w:i/>
      <w:iCs/>
      <w:color w:val="4F81BD" w:themeColor="accent1"/>
      <w:szCs w:val="24"/>
      <w:lang w:eastAsia="en-US"/>
    </w:rPr>
  </w:style>
  <w:style w:type="character" w:styleId="SubtleReference">
    <w:name w:val="Subtle Reference"/>
    <w:basedOn w:val="DefaultParagraphFont"/>
    <w:uiPriority w:val="31"/>
    <w:semiHidden/>
    <w:qFormat/>
    <w:rPr>
      <w:smallCaps/>
      <w:color w:val="C0504D" w:themeColor="accent2"/>
      <w:u w:val="single"/>
    </w:rPr>
  </w:style>
  <w:style w:type="character" w:styleId="IntenseReference">
    <w:name w:val="Intense Reference"/>
    <w:basedOn w:val="DefaultParagraphFont"/>
    <w:uiPriority w:val="32"/>
    <w:semiHidden/>
    <w:qFormat/>
    <w:rPr>
      <w:b/>
      <w:bCs/>
      <w:smallCaps/>
      <w:color w:val="C0504D" w:themeColor="accent2"/>
      <w:spacing w:val="5"/>
      <w:u w:val="single"/>
    </w:rPr>
  </w:style>
  <w:style w:type="character" w:styleId="BookTitle">
    <w:name w:val="Book Title"/>
    <w:basedOn w:val="DefaultParagraphFont"/>
    <w:uiPriority w:val="33"/>
    <w:semiHidden/>
    <w:qFormat/>
    <w:rPr>
      <w:b/>
      <w:bCs/>
      <w:smallCaps/>
      <w:spacing w:val="5"/>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styleId="PlaceholderText">
    <w:name w:val="Placeholder Text"/>
    <w:basedOn w:val="DefaultParagraphFont"/>
    <w:uiPriority w:val="99"/>
    <w:semiHidden/>
    <w:rPr>
      <w:color w:val="80808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eastAsia="Times New Roman" w:hAnsi="Arial" w:cs="Times New Roman"/>
      <w:sz w:val="20"/>
      <w:szCs w:val="20"/>
      <w:lang w:eastAsia="en-US"/>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Pr>
      <w:rFonts w:ascii="Arial" w:eastAsia="Times New Roman" w:hAnsi="Arial" w:cs="Times New Roman"/>
      <w:szCs w:val="24"/>
      <w:lang w:eastAsia="en-US"/>
    </w:rPr>
  </w:style>
  <w:style w:type="paragraph" w:customStyle="1" w:styleId="BodyText21">
    <w:name w:val="Body Text 21"/>
    <w:basedOn w:val="BodyText"/>
    <w:semiHidden/>
    <w:pPr>
      <w:ind w:left="709"/>
    </w:pPr>
  </w:style>
  <w:style w:type="paragraph" w:styleId="ListBullet">
    <w:name w:val="List Bullet"/>
    <w:basedOn w:val="Normal"/>
    <w:semiHidden/>
    <w:pPr>
      <w:numPr>
        <w:numId w:val="9"/>
      </w:numPr>
    </w:pPr>
  </w:style>
  <w:style w:type="paragraph" w:customStyle="1" w:styleId="CoverPartyNameLitigation">
    <w:name w:val="Cover Party Name (Litigation)"/>
    <w:basedOn w:val="Coverpartyname"/>
    <w:next w:val="BodyText"/>
    <w:qFormat/>
    <w:rPr>
      <w:caps/>
    </w:rPr>
  </w:style>
  <w:style w:type="paragraph" w:customStyle="1" w:styleId="NumberedBodytextindent1">
    <w:name w:val="_Numbered Body text indent 1"/>
    <w:basedOn w:val="Normal"/>
    <w:pPr>
      <w:numPr>
        <w:ilvl w:val="1"/>
        <w:numId w:val="11"/>
      </w:numPr>
      <w:spacing w:after="300" w:line="280" w:lineRule="atLeast"/>
    </w:pPr>
    <w:rPr>
      <w:sz w:val="18"/>
      <w:lang w:eastAsia="en-GB"/>
    </w:rPr>
  </w:style>
  <w:style w:type="paragraph" w:customStyle="1" w:styleId="NumberedBodytextindent2">
    <w:name w:val="_Numbered Body text indent 2"/>
    <w:basedOn w:val="NumberedBodytextindent1"/>
    <w:pPr>
      <w:numPr>
        <w:ilvl w:val="2"/>
      </w:numPr>
    </w:pPr>
  </w:style>
  <w:style w:type="paragraph" w:customStyle="1" w:styleId="NumberedBodytextindent3">
    <w:name w:val="_Numbered Body text indent 3"/>
    <w:basedOn w:val="NumberedBodytextindent2"/>
    <w:pPr>
      <w:numPr>
        <w:ilvl w:val="3"/>
      </w:numPr>
    </w:pPr>
  </w:style>
  <w:style w:type="paragraph" w:customStyle="1" w:styleId="Numberedheading1">
    <w:name w:val="_Numbered heading 1"/>
    <w:basedOn w:val="NumberedBodytextindent1"/>
    <w:next w:val="Normal"/>
    <w:qFormat/>
    <w:pPr>
      <w:keepNext/>
      <w:numPr>
        <w:ilvl w:val="0"/>
      </w:numPr>
      <w:spacing w:after="120"/>
    </w:pPr>
    <w:rPr>
      <w:b/>
      <w:color w:val="00A3C7"/>
    </w:rPr>
  </w:style>
  <w:style w:type="paragraph" w:customStyle="1" w:styleId="Title0">
    <w:name w:val="_Title"/>
    <w:basedOn w:val="Normal"/>
    <w:next w:val="Normal"/>
    <w:pPr>
      <w:spacing w:after="240" w:line="460" w:lineRule="exact"/>
    </w:pPr>
    <w:rPr>
      <w:rFonts w:ascii="Georgia" w:hAnsi="Georgia"/>
      <w:i/>
      <w:color w:val="00A3C7"/>
      <w:sz w:val="32"/>
      <w:lang w:eastAsia="en-GB"/>
    </w:rPr>
  </w:style>
  <w:style w:type="character" w:customStyle="1" w:styleId="BodytextChar0">
    <w:name w:val="_Body text Char"/>
    <w:link w:val="Bodytext0"/>
    <w:uiPriority w:val="99"/>
    <w:locked/>
    <w:rPr>
      <w:rFonts w:ascii="Times New Roman" w:eastAsia="Times New Roman" w:hAnsi="Times New Roman" w:cs="Times New Roman"/>
      <w:szCs w:val="24"/>
      <w:lang w:eastAsia="en-GB"/>
    </w:rPr>
  </w:style>
  <w:style w:type="paragraph" w:customStyle="1" w:styleId="Bodytext0">
    <w:name w:val="_Body text"/>
    <w:basedOn w:val="Normal"/>
    <w:link w:val="BodytextChar0"/>
    <w:uiPriority w:val="99"/>
    <w:qFormat/>
    <w:pPr>
      <w:spacing w:after="300" w:line="280" w:lineRule="atLeast"/>
    </w:pPr>
    <w:rPr>
      <w:rFonts w:ascii="Times New Roman" w:hAnsi="Times New Roman"/>
      <w:lang w:eastAsia="en-GB"/>
    </w:rPr>
  </w:style>
  <w:style w:type="numbering" w:customStyle="1" w:styleId="Listnumbered">
    <w:name w:val="__List numbered"/>
    <w:pPr>
      <w:numPr>
        <w:numId w:val="11"/>
      </w:numPr>
    </w:pPr>
  </w:style>
  <w:style w:type="numbering" w:customStyle="1" w:styleId="ListBullet0">
    <w:name w:val="__List Bullet"/>
    <w:pPr>
      <w:numPr>
        <w:numId w:val="13"/>
      </w:numPr>
    </w:pPr>
  </w:style>
  <w:style w:type="paragraph" w:styleId="ListNumber">
    <w:name w:val="List Number"/>
    <w:basedOn w:val="Normal"/>
    <w:uiPriority w:val="2"/>
    <w:qFormat/>
    <w:rsid w:val="00992DDD"/>
    <w:pPr>
      <w:numPr>
        <w:numId w:val="37"/>
      </w:numPr>
      <w:spacing w:after="120" w:line="240" w:lineRule="atLeast"/>
    </w:pPr>
    <w:rPr>
      <w:rFonts w:asciiTheme="minorHAnsi" w:hAnsiTheme="minorHAnsi"/>
      <w:sz w:val="18"/>
      <w:szCs w:val="18"/>
      <w:lang w:val="en-US"/>
    </w:rPr>
  </w:style>
  <w:style w:type="paragraph" w:customStyle="1" w:styleId="Copyright">
    <w:name w:val="Copyright"/>
    <w:rsid w:val="00992DDD"/>
    <w:pPr>
      <w:framePr w:hSpace="181" w:wrap="around" w:hAnchor="margin" w:yAlign="bottom"/>
      <w:spacing w:after="80"/>
    </w:pPr>
    <w:rPr>
      <w:rFonts w:ascii="Arial Narrow" w:eastAsia="Times New Roman" w:hAnsi="Arial Narrow" w:cs="Arial"/>
      <w:color w:val="EEECE1" w:themeColor="background2"/>
      <w:sz w:val="12"/>
      <w:szCs w:val="18"/>
      <w:lang w:val="en-US" w:eastAsia="en-US"/>
    </w:rPr>
  </w:style>
  <w:style w:type="numbering" w:customStyle="1" w:styleId="GTListNumber">
    <w:name w:val="GT List Number"/>
    <w:uiPriority w:val="99"/>
    <w:rsid w:val="00992DDD"/>
    <w:pPr>
      <w:numPr>
        <w:numId w:val="36"/>
      </w:numPr>
    </w:pPr>
  </w:style>
  <w:style w:type="paragraph" w:customStyle="1" w:styleId="ReportFooterURL">
    <w:name w:val="Report Footer URL"/>
    <w:basedOn w:val="Normal"/>
    <w:uiPriority w:val="9"/>
    <w:semiHidden/>
    <w:rsid w:val="00992DDD"/>
    <w:pPr>
      <w:spacing w:after="120" w:line="240" w:lineRule="atLeast"/>
    </w:pPr>
    <w:rPr>
      <w:rFonts w:asciiTheme="minorHAnsi" w:hAnsiTheme="minorHAnsi"/>
      <w:b/>
      <w:sz w:val="16"/>
      <w:szCs w:val="16"/>
    </w:rPr>
  </w:style>
  <w:style w:type="paragraph" w:customStyle="1" w:styleId="NumHead">
    <w:name w:val="NumHead"/>
    <w:basedOn w:val="Normal"/>
    <w:next w:val="NumText"/>
    <w:rsid w:val="00992DDD"/>
    <w:pPr>
      <w:keepNext/>
      <w:numPr>
        <w:numId w:val="38"/>
      </w:numPr>
      <w:spacing w:line="260" w:lineRule="atLeast"/>
    </w:pPr>
    <w:rPr>
      <w:rFonts w:ascii="Arial Black" w:hAnsi="Arial Black"/>
      <w:sz w:val="21"/>
      <w:szCs w:val="21"/>
      <w:lang w:val="en-US"/>
    </w:rPr>
  </w:style>
  <w:style w:type="paragraph" w:customStyle="1" w:styleId="NumText">
    <w:name w:val="NumText"/>
    <w:basedOn w:val="Normal"/>
    <w:link w:val="NumTextChar"/>
    <w:rsid w:val="00992DDD"/>
    <w:pPr>
      <w:numPr>
        <w:ilvl w:val="1"/>
        <w:numId w:val="38"/>
      </w:numPr>
      <w:spacing w:after="120" w:line="280" w:lineRule="exact"/>
    </w:pPr>
    <w:rPr>
      <w:rFonts w:asciiTheme="minorHAnsi" w:hAnsiTheme="minorHAnsi"/>
      <w:sz w:val="18"/>
      <w:szCs w:val="18"/>
      <w:lang w:val="en-US"/>
    </w:rPr>
  </w:style>
  <w:style w:type="character" w:customStyle="1" w:styleId="NumTextChar">
    <w:name w:val="NumText Char"/>
    <w:link w:val="NumText"/>
    <w:rsid w:val="00992DDD"/>
    <w:rPr>
      <w:rFonts w:eastAsia="Times New Roman" w:cs="Times New Roman"/>
      <w:sz w:val="18"/>
      <w:szCs w:val="18"/>
      <w:lang w:val="en-US" w:eastAsia="en-US"/>
    </w:rPr>
  </w:style>
  <w:style w:type="character" w:styleId="UnresolvedMention">
    <w:name w:val="Unresolved Mention"/>
    <w:basedOn w:val="DefaultParagraphFont"/>
    <w:uiPriority w:val="99"/>
    <w:semiHidden/>
    <w:unhideWhenUsed/>
    <w:rsid w:val="00B66EC8"/>
    <w:rPr>
      <w:color w:val="605E5C"/>
      <w:shd w:val="clear" w:color="auto" w:fill="E1DFDD"/>
    </w:rPr>
  </w:style>
  <w:style w:type="paragraph" w:customStyle="1" w:styleId="FWAL1">
    <w:name w:val="FWA_L1"/>
    <w:basedOn w:val="Normal"/>
    <w:next w:val="FWAL2"/>
    <w:rsid w:val="00351D54"/>
    <w:pPr>
      <w:keepNext/>
      <w:keepLines/>
      <w:pageBreakBefore/>
      <w:numPr>
        <w:numId w:val="42"/>
      </w:numPr>
      <w:spacing w:after="240" w:line="480" w:lineRule="auto"/>
      <w:jc w:val="center"/>
      <w:outlineLvl w:val="0"/>
    </w:pPr>
    <w:rPr>
      <w:rFonts w:ascii="Times New Roman" w:hAnsi="Times New Roman"/>
      <w:b/>
      <w:caps/>
      <w:sz w:val="24"/>
      <w:szCs w:val="20"/>
    </w:rPr>
  </w:style>
  <w:style w:type="paragraph" w:customStyle="1" w:styleId="FWAL2">
    <w:name w:val="FWA_L2"/>
    <w:basedOn w:val="FWAL1"/>
    <w:next w:val="FWAL4"/>
    <w:rsid w:val="00351D54"/>
    <w:pPr>
      <w:pageBreakBefore w:val="0"/>
      <w:numPr>
        <w:ilvl w:val="1"/>
      </w:numPr>
      <w:spacing w:line="240" w:lineRule="auto"/>
      <w:jc w:val="left"/>
      <w:outlineLvl w:val="1"/>
    </w:pPr>
    <w:rPr>
      <w:caps w:val="0"/>
      <w:smallCaps/>
    </w:rPr>
  </w:style>
  <w:style w:type="paragraph" w:customStyle="1" w:styleId="FWAL3">
    <w:name w:val="FWA_L3"/>
    <w:basedOn w:val="FWAL2"/>
    <w:rsid w:val="00351D54"/>
    <w:pPr>
      <w:keepNext w:val="0"/>
      <w:keepLines w:val="0"/>
      <w:numPr>
        <w:ilvl w:val="2"/>
      </w:numPr>
      <w:jc w:val="both"/>
      <w:outlineLvl w:val="9"/>
    </w:pPr>
    <w:rPr>
      <w:b w:val="0"/>
      <w:smallCaps w:val="0"/>
    </w:rPr>
  </w:style>
  <w:style w:type="paragraph" w:customStyle="1" w:styleId="FWAL4">
    <w:name w:val="FWA_L4"/>
    <w:basedOn w:val="FWAL3"/>
    <w:rsid w:val="00351D54"/>
    <w:pPr>
      <w:numPr>
        <w:ilvl w:val="3"/>
      </w:numPr>
    </w:pPr>
  </w:style>
  <w:style w:type="paragraph" w:customStyle="1" w:styleId="FWAL5">
    <w:name w:val="FWA_L5"/>
    <w:basedOn w:val="FWAL4"/>
    <w:rsid w:val="00351D54"/>
    <w:pPr>
      <w:numPr>
        <w:ilvl w:val="4"/>
      </w:numPr>
    </w:pPr>
  </w:style>
  <w:style w:type="paragraph" w:customStyle="1" w:styleId="FWAL6">
    <w:name w:val="FWA_L6"/>
    <w:basedOn w:val="FWAL5"/>
    <w:rsid w:val="00351D54"/>
    <w:pPr>
      <w:numPr>
        <w:ilvl w:val="5"/>
      </w:numPr>
    </w:pPr>
  </w:style>
  <w:style w:type="paragraph" w:customStyle="1" w:styleId="FWAL7">
    <w:name w:val="FWA_L7"/>
    <w:basedOn w:val="FWAL6"/>
    <w:rsid w:val="00351D54"/>
    <w:pPr>
      <w:numPr>
        <w:ilvl w:val="6"/>
      </w:numPr>
    </w:pPr>
  </w:style>
  <w:style w:type="paragraph" w:customStyle="1" w:styleId="FWAL8">
    <w:name w:val="FWA_L8"/>
    <w:basedOn w:val="FWAL7"/>
    <w:rsid w:val="00351D54"/>
    <w:pPr>
      <w:numPr>
        <w:ilvl w:val="7"/>
      </w:numPr>
    </w:pPr>
  </w:style>
  <w:style w:type="paragraph" w:customStyle="1" w:styleId="FWAL9">
    <w:name w:val="FWA_L9"/>
    <w:basedOn w:val="FWAL8"/>
    <w:rsid w:val="00351D54"/>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32718">
      <w:bodyDiv w:val="1"/>
      <w:marLeft w:val="0"/>
      <w:marRight w:val="0"/>
      <w:marTop w:val="0"/>
      <w:marBottom w:val="0"/>
      <w:divBdr>
        <w:top w:val="none" w:sz="0" w:space="0" w:color="auto"/>
        <w:left w:val="none" w:sz="0" w:space="0" w:color="auto"/>
        <w:bottom w:val="none" w:sz="0" w:space="0" w:color="auto"/>
        <w:right w:val="none" w:sz="0" w:space="0" w:color="auto"/>
      </w:divBdr>
    </w:div>
    <w:div w:id="1436712345">
      <w:bodyDiv w:val="1"/>
      <w:marLeft w:val="0"/>
      <w:marRight w:val="0"/>
      <w:marTop w:val="0"/>
      <w:marBottom w:val="0"/>
      <w:divBdr>
        <w:top w:val="none" w:sz="0" w:space="0" w:color="auto"/>
        <w:left w:val="none" w:sz="0" w:space="0" w:color="auto"/>
        <w:bottom w:val="none" w:sz="0" w:space="0" w:color="auto"/>
        <w:right w:val="none" w:sz="0" w:space="0" w:color="auto"/>
      </w:divBdr>
    </w:div>
    <w:div w:id="1532497824">
      <w:bodyDiv w:val="1"/>
      <w:marLeft w:val="0"/>
      <w:marRight w:val="0"/>
      <w:marTop w:val="0"/>
      <w:marBottom w:val="0"/>
      <w:divBdr>
        <w:top w:val="none" w:sz="0" w:space="0" w:color="auto"/>
        <w:left w:val="none" w:sz="0" w:space="0" w:color="auto"/>
        <w:bottom w:val="none" w:sz="0" w:space="0" w:color="auto"/>
        <w:right w:val="none" w:sz="0" w:space="0" w:color="auto"/>
      </w:divBdr>
    </w:div>
    <w:div w:id="1650743741">
      <w:bodyDiv w:val="1"/>
      <w:marLeft w:val="0"/>
      <w:marRight w:val="0"/>
      <w:marTop w:val="0"/>
      <w:marBottom w:val="0"/>
      <w:divBdr>
        <w:top w:val="none" w:sz="0" w:space="0" w:color="auto"/>
        <w:left w:val="none" w:sz="0" w:space="0" w:color="auto"/>
        <w:bottom w:val="none" w:sz="0" w:space="0" w:color="auto"/>
        <w:right w:val="none" w:sz="0" w:space="0" w:color="auto"/>
      </w:divBdr>
    </w:div>
    <w:div w:id="1915048318">
      <w:bodyDiv w:val="1"/>
      <w:marLeft w:val="0"/>
      <w:marRight w:val="0"/>
      <w:marTop w:val="0"/>
      <w:marBottom w:val="0"/>
      <w:divBdr>
        <w:top w:val="none" w:sz="0" w:space="0" w:color="auto"/>
        <w:left w:val="none" w:sz="0" w:space="0" w:color="auto"/>
        <w:bottom w:val="none" w:sz="0" w:space="0" w:color="auto"/>
        <w:right w:val="none" w:sz="0" w:space="0" w:color="auto"/>
      </w:divBdr>
    </w:div>
    <w:div w:id="1926576422">
      <w:bodyDiv w:val="1"/>
      <w:marLeft w:val="0"/>
      <w:marRight w:val="0"/>
      <w:marTop w:val="0"/>
      <w:marBottom w:val="0"/>
      <w:divBdr>
        <w:top w:val="none" w:sz="0" w:space="0" w:color="auto"/>
        <w:left w:val="none" w:sz="0" w:space="0" w:color="auto"/>
        <w:bottom w:val="none" w:sz="0" w:space="0" w:color="auto"/>
        <w:right w:val="none" w:sz="0" w:space="0" w:color="auto"/>
      </w:divBdr>
    </w:div>
    <w:div w:id="19392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3882</Characters>
  <Application>Microsoft Office Word</Application>
  <DocSecurity>4</DocSecurity>
  <Lines>32</Lines>
  <Paragraphs>9</Paragraphs>
  <ScaleCrop>false</ScaleCrop>
  <Company/>
  <LinksUpToDate>false</LinksUpToDate>
  <CharactersWithSpaces>4553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Rayner</dc:creator>
  <cp:lastModifiedBy>Jacqui Rayner</cp:lastModifiedBy>
  <cp:revision>2</cp:revision>
  <dcterms:created xsi:type="dcterms:W3CDTF">2022-07-29T13:59:00Z</dcterms:created>
  <dcterms:modified xsi:type="dcterms:W3CDTF">2022-07-29T13:59:00Z</dcterms:modified>
</cp:coreProperties>
</file>